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968"/>
        <w:gridCol w:w="4968"/>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4C7310" w:rsidP="00182019">
            <w:pPr>
              <w:pStyle w:val="TableParagraph"/>
              <w:spacing w:line="247" w:lineRule="exact"/>
              <w:ind w:left="110"/>
            </w:pPr>
            <w:r>
              <w:t>13. 01. 2023</w:t>
            </w:r>
            <w:bookmarkStart w:id="0" w:name="_GoBack"/>
            <w:bookmarkEnd w:id="0"/>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602"/>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DA145F" w:rsidRPr="00DA145F" w:rsidRDefault="003536E6" w:rsidP="00D70A0B">
            <w:pPr>
              <w:spacing w:after="22" w:line="259" w:lineRule="auto"/>
              <w:rPr>
                <w:color w:val="000000" w:themeColor="text1"/>
              </w:rPr>
            </w:pPr>
            <w:r w:rsidRPr="007A614F">
              <w:t xml:space="preserve">Na stretnutí </w:t>
            </w:r>
            <w:r w:rsidR="000C2B7A" w:rsidRPr="007A614F">
              <w:t xml:space="preserve">pedagogického klubu </w:t>
            </w:r>
            <w:r w:rsidRPr="007A614F">
              <w:t xml:space="preserve">sa členovia </w:t>
            </w:r>
            <w:r w:rsidR="00182019">
              <w:t xml:space="preserve">venovali </w:t>
            </w:r>
            <w:r w:rsidR="00CA7719">
              <w:rPr>
                <w:rStyle w:val="3oh-"/>
                <w:color w:val="000000" w:themeColor="text1"/>
              </w:rPr>
              <w:t>v</w:t>
            </w:r>
            <w:r w:rsidR="00CA7719" w:rsidRPr="0022615A">
              <w:rPr>
                <w:rStyle w:val="3oh-"/>
                <w:color w:val="000000" w:themeColor="text1"/>
              </w:rPr>
              <w:t>ýmen</w:t>
            </w:r>
            <w:r w:rsidR="00CA7719">
              <w:rPr>
                <w:rStyle w:val="3oh-"/>
                <w:color w:val="000000" w:themeColor="text1"/>
              </w:rPr>
              <w:t>e</w:t>
            </w:r>
            <w:r w:rsidR="00CA7719" w:rsidRPr="0022615A">
              <w:rPr>
                <w:rStyle w:val="3oh-"/>
                <w:color w:val="000000" w:themeColor="text1"/>
              </w:rPr>
              <w:t xml:space="preserve"> skúseností </w:t>
            </w:r>
            <w:r w:rsidR="00D70A0B">
              <w:rPr>
                <w:rStyle w:val="3oh-"/>
                <w:color w:val="000000" w:themeColor="text1"/>
              </w:rPr>
              <w:t>ohľadom jazykových trendov dnešnej doby a prenikania vplyvu anglicizmov do vyučovania predmetov slovenský jazyk a literatúra, matematika a informatika.</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073B22" w:rsidRDefault="001600A2" w:rsidP="008B373C">
            <w:pPr>
              <w:spacing w:after="22" w:line="259" w:lineRule="auto"/>
              <w:jc w:val="both"/>
            </w:pPr>
            <w:r w:rsidRPr="00073B22">
              <w:t xml:space="preserve">12. </w:t>
            </w:r>
            <w:r w:rsidR="003536E6" w:rsidRPr="00073B22">
              <w:t>Hlavné body, témy stretnutia, zhrnutie priebehu stretnutia</w:t>
            </w:r>
            <w:r w:rsidR="00DF7097" w:rsidRPr="00073B22">
              <w:t>:</w:t>
            </w:r>
          </w:p>
          <w:p w:rsidR="000C2B7A" w:rsidRPr="00073B22" w:rsidRDefault="000C2B7A" w:rsidP="008B373C">
            <w:pPr>
              <w:pStyle w:val="Odsekzoznamu"/>
              <w:numPr>
                <w:ilvl w:val="0"/>
                <w:numId w:val="3"/>
              </w:numPr>
              <w:spacing w:after="22" w:line="259" w:lineRule="auto"/>
              <w:jc w:val="both"/>
            </w:pPr>
            <w:r w:rsidRPr="00073B22">
              <w:t>Privítanie členov pedagogického klubu</w:t>
            </w:r>
          </w:p>
          <w:p w:rsidR="009E7E6F" w:rsidRPr="00073B22" w:rsidRDefault="000C2B7A" w:rsidP="008B373C">
            <w:pPr>
              <w:pStyle w:val="Odsekzoznamu"/>
              <w:numPr>
                <w:ilvl w:val="0"/>
                <w:numId w:val="3"/>
              </w:numPr>
              <w:spacing w:after="22" w:line="259" w:lineRule="auto"/>
              <w:jc w:val="both"/>
            </w:pPr>
            <w:r w:rsidRPr="00073B22">
              <w:t>Oboznámenie sa s</w:t>
            </w:r>
            <w:r w:rsidR="006704C0" w:rsidRPr="00073B22">
              <w:t> rámcovým programom stretnutia</w:t>
            </w:r>
          </w:p>
          <w:p w:rsidR="005C3221" w:rsidRDefault="009E7E6F" w:rsidP="008B373C">
            <w:pPr>
              <w:pStyle w:val="Odsekzoznamu"/>
              <w:numPr>
                <w:ilvl w:val="0"/>
                <w:numId w:val="3"/>
              </w:numPr>
              <w:adjustRightInd w:val="0"/>
              <w:jc w:val="both"/>
            </w:pPr>
            <w:r w:rsidRPr="00073B22">
              <w:t>Diskusia:</w:t>
            </w:r>
          </w:p>
          <w:p w:rsidR="009E7E6F" w:rsidRPr="00073B22" w:rsidRDefault="00CA7719" w:rsidP="00A20F1E">
            <w:pPr>
              <w:jc w:val="both"/>
            </w:pPr>
            <w:r>
              <w:t xml:space="preserve">Členovia klubu poukázali na fakt, že </w:t>
            </w:r>
            <w:r w:rsidR="00D70A0B">
              <w:t xml:space="preserve">anglicizmy v slovenčine dnes nachádzame veľmi často. Žiadne jazyk, ani ten náš totiž neexistuje v izolácii a našu slovnú zásobu, ktorú využívame pri vyučovaní predmetov slovenský jazyk a literatúra, matematika a informatika, neustále ovplyvňujú nové slová. Znalosť anglického jazyka pre každého učiteľa sa dnes javí veľmi dôležitou, pretože sa postupne včleňuje do každodenných pracovných aj osobných rozhovorov. </w:t>
            </w:r>
            <w:r w:rsidR="00A20F1E">
              <w:t xml:space="preserve">Anglicizmy sú slová alebo zvraty anglického pôvodu. Členovia klubu viedli diskusiu, prečo práve anglicizmy tak často prenikajú do nášho jazyka, keďže so žiadnou anglicky hovoriacou krajinou nesusedíme. Vzájomnou výmenou názorov sa zhodli na tom, že anglicky hovoriace krajiny patria medzi vyspelé národy a preto iné národy vrátane toho nášho od neho preberajú spolu s informáciami aj terminológiu. Keďže mnohé anglicizmy sú uznávané medzinárodne, uľahčuje to celosvetovú komunikáciu v rôznych odboroch. Počet anglicizmov v slovenskom jazyku neustále rastie a tieto slová sú populárne najmä medzi mladými ľuďmi, preto ich prenikanie a zaradenie do vyučovania sa stáva úplne prirodzeným. Ako príklad člen klubu uviedol slovo „blog“, ktoré bolo do slovenčiny prevzaté bez preloženia či poslovenčenia a z neho vychádzajúce slová bloger, blogovať či </w:t>
            </w:r>
            <w:proofErr w:type="spellStart"/>
            <w:r w:rsidR="00A20F1E">
              <w:t>vlog</w:t>
            </w:r>
            <w:proofErr w:type="spellEnd"/>
            <w:r w:rsidR="00A20F1E">
              <w:t xml:space="preserve">, ktoré žiaci na vyučovaní používajú bežne. </w:t>
            </w:r>
          </w:p>
        </w:tc>
      </w:tr>
      <w:tr w:rsidR="001600A2" w:rsidRPr="007A614F"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7A614F" w:rsidRDefault="001600A2" w:rsidP="008B373C">
            <w:pPr>
              <w:spacing w:after="22" w:line="259" w:lineRule="auto"/>
              <w:jc w:val="both"/>
              <w:rPr>
                <w:b/>
              </w:rPr>
            </w:pPr>
            <w:r w:rsidRPr="007A614F">
              <w:rPr>
                <w:b/>
              </w:rPr>
              <w:t>13. Závery a odporúčania:</w:t>
            </w:r>
          </w:p>
          <w:p w:rsidR="000C2B7A" w:rsidRPr="007A614F" w:rsidRDefault="00540E76" w:rsidP="004C7310">
            <w:pPr>
              <w:spacing w:after="22" w:line="259" w:lineRule="auto"/>
              <w:jc w:val="both"/>
            </w:pPr>
            <w:r>
              <w:t xml:space="preserve">Členovia klubu v rámci diskusie odporučili </w:t>
            </w:r>
            <w:r w:rsidR="00A20F1E">
              <w:t>nebrániť sa prenikaniu anglicizmov do vyučovania predmetov slovenský jazyk a literatúra, matematika či informatika, pretože tým učitelia i žiaci obohacujú svoju slovnú zásobu</w:t>
            </w:r>
            <w:r w:rsidR="004C7310">
              <w:t xml:space="preserve">. Jazyky sú totiž veľmi dynamické komunikačné systémy, a preto je pre </w:t>
            </w:r>
            <w:proofErr w:type="spellStart"/>
            <w:r w:rsidR="004C7310">
              <w:t>ne</w:t>
            </w:r>
            <w:proofErr w:type="spellEnd"/>
            <w:r w:rsidR="004C7310">
              <w:t xml:space="preserve"> prirodzené, že sa neustále formujú a vyvíjajú a mnohé slová anglického pôvodu už dnes pokladáme za spisovnú súčasť slovenského jazyka.</w:t>
            </w:r>
            <w:r w:rsidR="00F924A3">
              <w:t xml:space="preserve"> </w:t>
            </w:r>
          </w:p>
        </w:tc>
      </w:tr>
    </w:tbl>
    <w:p w:rsidR="003536E6" w:rsidRPr="007A614F" w:rsidRDefault="003536E6">
      <w:pPr>
        <w:pStyle w:val="Zkladntext"/>
        <w:spacing w:before="9"/>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398"/>
        <w:gridCol w:w="5538"/>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4C7310">
            <w:pPr>
              <w:pStyle w:val="TableParagraph"/>
            </w:pPr>
            <w:r>
              <w:t xml:space="preserve">Mgr. Zdenka </w:t>
            </w:r>
            <w:proofErr w:type="spellStart"/>
            <w:r>
              <w:t>Dubcová</w:t>
            </w:r>
            <w:proofErr w:type="spellEnd"/>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4C7310" w:rsidP="00182019">
            <w:pPr>
              <w:pStyle w:val="TableParagraph"/>
            </w:pPr>
            <w:r>
              <w:t>13. 01. 2023</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lastRenderedPageBreak/>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4C7310" w:rsidP="00182019">
            <w:pPr>
              <w:pStyle w:val="TableParagraph"/>
            </w:pPr>
            <w:r>
              <w:t>13. 01. 2023</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4C7310">
        <w:t>13. 01. 2023</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3.</w:t>
            </w:r>
          </w:p>
        </w:tc>
        <w:tc>
          <w:tcPr>
            <w:tcW w:w="3934" w:type="dxa"/>
          </w:tcPr>
          <w:p w:rsidR="00EA5161" w:rsidRPr="00DB110E" w:rsidRDefault="00182019" w:rsidP="00EA5161">
            <w:pPr>
              <w:pStyle w:val="TableParagraph"/>
            </w:pPr>
            <w:r>
              <w:t xml:space="preserve">Mgr. Zdenka </w:t>
            </w:r>
            <w:proofErr w:type="spellStart"/>
            <w:r>
              <w:t>Dubcová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4.</w:t>
            </w:r>
          </w:p>
        </w:tc>
        <w:tc>
          <w:tcPr>
            <w:tcW w:w="3934" w:type="dxa"/>
          </w:tcPr>
          <w:p w:rsidR="00EA5161" w:rsidRPr="00DB110E" w:rsidRDefault="0034486A" w:rsidP="00EA5161">
            <w:pPr>
              <w:pStyle w:val="TableParagraph"/>
            </w:pPr>
            <w:r>
              <w:t xml:space="preserve">Mgr. Adriana </w:t>
            </w:r>
            <w:proofErr w:type="spellStart"/>
            <w:r>
              <w:t>Mošatová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34486A"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p>
        </w:tc>
        <w:tc>
          <w:tcPr>
            <w:tcW w:w="3934" w:type="dxa"/>
          </w:tcPr>
          <w:p w:rsidR="00EA5161" w:rsidRPr="00DB110E" w:rsidRDefault="00EA5161" w:rsidP="00EA5161">
            <w:pPr>
              <w:pStyle w:val="TableParagraph"/>
            </w:pPr>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4C7310" w:rsidP="00E564D8">
      <w:pPr>
        <w:rPr>
          <w:noProof/>
          <w:lang w:eastAsia="sk-SK"/>
        </w:rPr>
      </w:pPr>
      <w:r w:rsidRPr="004C7310">
        <w:rPr>
          <w:noProof/>
          <w:lang w:eastAsia="sk-SK"/>
        </w:rPr>
        <w:drawing>
          <wp:inline distT="0" distB="0" distL="0" distR="0">
            <wp:extent cx="6165850" cy="4623276"/>
            <wp:effectExtent l="0" t="0" r="6350" b="6350"/>
            <wp:docPr id="2" name="Obrázok 2" descr="C:\Users\martin\Downloads\IMG_20230110_11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IMG_20230110_114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0" cy="4623276"/>
                    </a:xfrm>
                    <a:prstGeom prst="rect">
                      <a:avLst/>
                    </a:prstGeom>
                    <a:noFill/>
                    <a:ln>
                      <a:noFill/>
                    </a:ln>
                  </pic:spPr>
                </pic:pic>
              </a:graphicData>
            </a:graphic>
          </wp:inline>
        </w:drawing>
      </w:r>
    </w:p>
    <w:p w:rsidR="000E180B" w:rsidRDefault="000E180B" w:rsidP="00E564D8"/>
    <w:p w:rsidR="00E564D8" w:rsidRDefault="00E564D8" w:rsidP="00E564D8"/>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4CB65"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8B793"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9"/>
    <w:rsid w:val="00073B22"/>
    <w:rsid w:val="000C2B7A"/>
    <w:rsid w:val="000E180B"/>
    <w:rsid w:val="000F32FC"/>
    <w:rsid w:val="001600A2"/>
    <w:rsid w:val="00182019"/>
    <w:rsid w:val="001B6337"/>
    <w:rsid w:val="00203936"/>
    <w:rsid w:val="002422AA"/>
    <w:rsid w:val="002D1995"/>
    <w:rsid w:val="002D7118"/>
    <w:rsid w:val="00330A38"/>
    <w:rsid w:val="0034486A"/>
    <w:rsid w:val="003536E6"/>
    <w:rsid w:val="00371689"/>
    <w:rsid w:val="003F233A"/>
    <w:rsid w:val="004253DC"/>
    <w:rsid w:val="00440ABE"/>
    <w:rsid w:val="004543D2"/>
    <w:rsid w:val="0048463B"/>
    <w:rsid w:val="004C7310"/>
    <w:rsid w:val="005010DD"/>
    <w:rsid w:val="00513051"/>
    <w:rsid w:val="00527052"/>
    <w:rsid w:val="00540E76"/>
    <w:rsid w:val="00545DAC"/>
    <w:rsid w:val="00581B7D"/>
    <w:rsid w:val="005A4AB3"/>
    <w:rsid w:val="005C3221"/>
    <w:rsid w:val="00610F37"/>
    <w:rsid w:val="006704C0"/>
    <w:rsid w:val="006946BE"/>
    <w:rsid w:val="006C3BD0"/>
    <w:rsid w:val="006D5502"/>
    <w:rsid w:val="00703FB9"/>
    <w:rsid w:val="0075548F"/>
    <w:rsid w:val="007A2E50"/>
    <w:rsid w:val="007A614F"/>
    <w:rsid w:val="007A7469"/>
    <w:rsid w:val="007B1A70"/>
    <w:rsid w:val="007C6313"/>
    <w:rsid w:val="00833150"/>
    <w:rsid w:val="00844A9E"/>
    <w:rsid w:val="008739B0"/>
    <w:rsid w:val="00874601"/>
    <w:rsid w:val="008B373C"/>
    <w:rsid w:val="008E1DE8"/>
    <w:rsid w:val="008E57A3"/>
    <w:rsid w:val="008F575B"/>
    <w:rsid w:val="00976FE7"/>
    <w:rsid w:val="009E7E6F"/>
    <w:rsid w:val="009F0020"/>
    <w:rsid w:val="00A20F1E"/>
    <w:rsid w:val="00A30E2F"/>
    <w:rsid w:val="00A57F62"/>
    <w:rsid w:val="00B050C5"/>
    <w:rsid w:val="00B27F1B"/>
    <w:rsid w:val="00B523D0"/>
    <w:rsid w:val="00BF1ABE"/>
    <w:rsid w:val="00C053DF"/>
    <w:rsid w:val="00C40AFC"/>
    <w:rsid w:val="00C60F5F"/>
    <w:rsid w:val="00C6344C"/>
    <w:rsid w:val="00CA7719"/>
    <w:rsid w:val="00CC5242"/>
    <w:rsid w:val="00CC5C49"/>
    <w:rsid w:val="00CD7A63"/>
    <w:rsid w:val="00D6770B"/>
    <w:rsid w:val="00D70A0B"/>
    <w:rsid w:val="00D84DC9"/>
    <w:rsid w:val="00DA145F"/>
    <w:rsid w:val="00DB110E"/>
    <w:rsid w:val="00DD5323"/>
    <w:rsid w:val="00DF7097"/>
    <w:rsid w:val="00E44E7C"/>
    <w:rsid w:val="00E564D8"/>
    <w:rsid w:val="00EA5161"/>
    <w:rsid w:val="00EC53EB"/>
    <w:rsid w:val="00EC7D6E"/>
    <w:rsid w:val="00ED33BA"/>
    <w:rsid w:val="00EF1F03"/>
    <w:rsid w:val="00F1416B"/>
    <w:rsid w:val="00F517FF"/>
    <w:rsid w:val="00F754AE"/>
    <w:rsid w:val="00F924A3"/>
    <w:rsid w:val="00F9648A"/>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C5E2"/>
  <w15:docId w15:val="{29E1FD2F-906B-49DA-905B-271169C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 w:type="character" w:customStyle="1" w:styleId="3oh-">
    <w:name w:val="_3oh-"/>
    <w:basedOn w:val="Predvolenpsmoodseku"/>
    <w:rsid w:val="00C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DFE5-64AC-48C4-80D5-0E3E7DAF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martin</cp:lastModifiedBy>
  <cp:revision>2</cp:revision>
  <dcterms:created xsi:type="dcterms:W3CDTF">2023-01-27T11:30:00Z</dcterms:created>
  <dcterms:modified xsi:type="dcterms:W3CDTF">2023-01-27T11:30:00Z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