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BD6" w14:textId="3DC14CDF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SZKOLNYCH  nr …../….</w:t>
      </w:r>
    </w:p>
    <w:p w14:paraId="074A789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EFA6238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Szkołą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ul………………., …-….Szczecin, </w:t>
      </w:r>
      <w:bookmarkStart w:id="1" w:name="_Hlk9667893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</w:t>
      </w:r>
    </w:p>
    <w:p w14:paraId="1696FA5A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Dyrektora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Szkoły …………………………….Nr .…..w Szczecinie, na podstawie pełnomocnictwa Prezydenta Miasta Szczecin nr ………………………… z dnia …………………….r.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4AFCB5D3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2" w:name="_Hlk102215420"/>
      <w:bookmarkStart w:id="3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3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nr 95, poz. 1677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r.,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5BCDC8B2" w:rsidR="004D5F3F" w:rsidRPr="004D5F3F" w:rsidRDefault="004D5F3F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położona w budynku Szkoły/Przedszkola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stanowiącym własność Gminy Miasta Szczecin i znajdującym się w dyspozycji Szkoły/</w:t>
      </w:r>
      <w:r w:rsidR="00022BC5" w:rsidRPr="004D5F3F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zwany/-a/-e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</w:t>
      </w:r>
      <w:r w:rsidR="00A04BF7"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przedmiotem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najmu”.</w:t>
      </w:r>
    </w:p>
    <w:p w14:paraId="5238CC23" w14:textId="2EA42020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określoną/-e ust. 1,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 wyposażeniem opisanym Załączniku nr 1 w terminach wskazanych w Załączniku nr 2,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z wyłączeniem dni wolnych od nauki i pracy zgodnie z kalendarzem MEN na rok </w:t>
      </w:r>
      <w:r w:rsidR="00D810BC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[…]/[…]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– ten fragment też do dostosowania przez placówki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.</w:t>
      </w:r>
    </w:p>
    <w:p w14:paraId="79F57C16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4" w:name="_Hlk102215529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bookmarkEnd w:id="4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(tutaj nazwa celu, np. zebranie, zawody itp.).</w:t>
      </w:r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E63B49C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bookmarkStart w:id="5" w:name="_Hlk102216607"/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5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kwotę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) netto plus obowiązujący podatek VAT. Kwota obejmuje koszty utrzymania pomieszczenia.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2343C623" w14:textId="50BB6EF2" w:rsidR="00E019F7" w:rsidRPr="00E019F7" w:rsidRDefault="00E019F7" w:rsidP="00E019F7">
      <w:pPr>
        <w:pStyle w:val="Akapitzlist"/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19F7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w wysokości stanowiącej sumy kwot określonych na podstawie w ust. 1 i 2 z góry do dnia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E019F7">
        <w:rPr>
          <w:rFonts w:ascii="Tahoma" w:eastAsia="Times New Roman" w:hAnsi="Tahoma" w:cs="Tahoma"/>
          <w:sz w:val="20"/>
          <w:szCs w:val="20"/>
          <w:lang w:eastAsia="pl-PL"/>
        </w:rPr>
        <w:t xml:space="preserve"> każdego miesiąca za miesiąc, za który należna jest płatność, na podstawie faktury wystawionej przez Wynajmującego, na rachunek Wynajmującego prowadzony w banku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019F7"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12977A6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7EA3DD5B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="0081087E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4746067" w14:textId="77777777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W przypadku, gdy w danym miesiącu dostęp do pomieszczeń biurowych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 przedmiotu najmu.</w:t>
      </w:r>
    </w:p>
    <w:p w14:paraId="6E868303" w14:textId="77777777" w:rsidR="0081087E" w:rsidRPr="0081087E" w:rsidRDefault="0081087E" w:rsidP="0081087E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395CF58A" w14:textId="1E81EDEC" w:rsidR="0081087E" w:rsidRPr="0081087E" w:rsidRDefault="0081087E" w:rsidP="0081087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w brzmieniu jak powyżej – w przypadku Najemców nie prowadzących działalności gospodarczej. W przypadku umów zawieranych z osobami prowadzącymi działalność gospodarczą – poniżej klauzule o naliczaniu odsetek ustawowych za opóźnienie w transakcjach handlowych oraz rekompensaty za koszty (ust.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10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): 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E488DD6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10. 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C40CC9" w:rsidRPr="00C40CC9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55D8EF55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takim stanie przez cały okres obowiązywania umowy, poprzez zapewnienie m.in. sprawnego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działania istniejących instalacji w budynku, umożliwiających Najemcy korzystanie z oświetlenia i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5B99217A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9E4855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9674DC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407A41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23DCE2B8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do sali osób trzecich, na rzecz których prowadzona jest działalność określona w § 1 ust. 3, Najemca stwierdzi, że stan sali nie odpowiada stanowi technicznemu i wyposażenia opisanemu w Załączniku nr 1,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zajęcia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zajęć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w lokalu Wynajmującego zobowiązany jest Najemca.</w:t>
      </w:r>
    </w:p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2022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lastRenderedPageBreak/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50CCC8C4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ponosi odpowiedzialność materialną za wyposażenie sali, o której mowa w § 1 ust. 1 i 5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6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187DE5CC" w14:textId="77777777" w:rsidR="009D4453" w:rsidRPr="009D4453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30E586EC" w14:textId="61E97A24" w:rsidR="009D4453" w:rsidRPr="009D4453" w:rsidRDefault="009D4453" w:rsidP="00C22348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075CDF8" w14:textId="77777777" w:rsidR="009D4453" w:rsidRPr="009D4453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4453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6F8F860F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7016E86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6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p w14:paraId="05F94E6A" w14:textId="6F6C982B" w:rsidR="0081087E" w:rsidRPr="00941466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1466">
        <w:rPr>
          <w:rFonts w:ascii="Tahoma" w:eastAsia="Times New Roman" w:hAnsi="Tahoma" w:cs="Tahoma"/>
          <w:sz w:val="20"/>
          <w:szCs w:val="20"/>
          <w:lang w:eastAsia="pl-PL"/>
        </w:rPr>
        <w:t xml:space="preserve">,,Niniejsza Umowa oraz dane strony, z którą Gmina Miasto Szczecin zawarła umowę, stanowią informację publiczną w rozumieniu art. 1 ustawy z dnia 6 września 2001 r. o dostępie do informacji publicznej </w:t>
      </w:r>
      <w:r w:rsidR="00FE00D5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941466">
        <w:rPr>
          <w:rFonts w:ascii="Tahoma" w:eastAsia="Times New Roman" w:hAnsi="Tahoma" w:cs="Tahoma"/>
          <w:sz w:val="20"/>
          <w:szCs w:val="20"/>
          <w:lang w:eastAsia="pl-PL"/>
        </w:rPr>
        <w:t xml:space="preserve"> i podlegają udostępnieniu na zasadach i w trybie określonych w ww. ustawie.”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1699E8E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49217040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FE00D5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2973050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9D445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7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7"/>
    </w:p>
    <w:p w14:paraId="1365187E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28694A41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B3F7930" w14:textId="77777777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14073AEA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9D4453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2195364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9D4453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B29D5C7" w14:textId="77777777" w:rsidR="0081087E" w:rsidRPr="0081087E" w:rsidRDefault="0081087E" w:rsidP="00256DB6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32A6C12C" w:rsidR="0081087E" w:rsidRPr="00256DB6" w:rsidRDefault="0081087E" w:rsidP="00256DB6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</w:t>
      </w:r>
      <w:r w:rsidR="00256D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3E7FCB31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</w:t>
      </w:r>
      <w:r w:rsidR="00256DB6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………………………………………</w:t>
      </w:r>
    </w:p>
    <w:p w14:paraId="3F762629" w14:textId="2B6BFA1A" w:rsid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686676C2" w14:textId="4A0D0DE8" w:rsidR="00256DB6" w:rsidRDefault="00256DB6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E0BF5EB" w14:textId="77777777" w:rsidR="00256DB6" w:rsidRPr="004D5F3F" w:rsidRDefault="00256DB6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47C78DEA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F722D2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B0CCE0A" w14:textId="786D40C6" w:rsidR="0048114D" w:rsidRDefault="004D5F3F" w:rsidP="00C22348">
      <w:pPr>
        <w:spacing w:after="0" w:line="276" w:lineRule="auto"/>
      </w:pPr>
      <w:r w:rsidRPr="004D5F3F">
        <w:rPr>
          <w:rFonts w:ascii="Tahoma" w:eastAsia="Calibri" w:hAnsi="Tahoma" w:cs="Tahoma"/>
          <w:sz w:val="20"/>
          <w:szCs w:val="20"/>
        </w:rPr>
        <w:t>2. Harmonogram najmu</w:t>
      </w: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4D"/>
    <w:rsid w:val="00022BC5"/>
    <w:rsid w:val="001373FE"/>
    <w:rsid w:val="00171242"/>
    <w:rsid w:val="00256DB6"/>
    <w:rsid w:val="003604D3"/>
    <w:rsid w:val="00407A41"/>
    <w:rsid w:val="0048114D"/>
    <w:rsid w:val="004D5F3F"/>
    <w:rsid w:val="005312AD"/>
    <w:rsid w:val="006C0299"/>
    <w:rsid w:val="006C7161"/>
    <w:rsid w:val="0081087E"/>
    <w:rsid w:val="00941466"/>
    <w:rsid w:val="009674DC"/>
    <w:rsid w:val="009D4453"/>
    <w:rsid w:val="009D4807"/>
    <w:rsid w:val="009E4855"/>
    <w:rsid w:val="00A04BF7"/>
    <w:rsid w:val="00C22348"/>
    <w:rsid w:val="00C40CC9"/>
    <w:rsid w:val="00C63D17"/>
    <w:rsid w:val="00D810BC"/>
    <w:rsid w:val="00E019F7"/>
    <w:rsid w:val="00F722D2"/>
    <w:rsid w:val="00FA215F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9D4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6" ma:contentTypeDescription="Utwórz nowy dokument." ma:contentTypeScope="" ma:versionID="432247ccd8e869f2b41cc3af37965397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ea1a2808929d6530ae58c14323877038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674B5C0-35DD-435E-80C5-B825AF5A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27380-7B05-46B7-A1B2-1C22FCAEE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966D6-F54A-4814-99F5-5D7D9E28865B}">
  <ds:schemaRefs>
    <ds:schemaRef ds:uri="fc583837-ac66-4456-a78a-17b6263f67bf"/>
    <ds:schemaRef ds:uri="http://purl.org/dc/elements/1.1/"/>
    <ds:schemaRef ds:uri="http://schemas.microsoft.com/office/2006/metadata/properties"/>
    <ds:schemaRef ds:uri="http://purl.org/dc/terms/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Anna Mikuś</cp:lastModifiedBy>
  <cp:revision>2</cp:revision>
  <dcterms:created xsi:type="dcterms:W3CDTF">2023-08-08T09:31:00Z</dcterms:created>
  <dcterms:modified xsi:type="dcterms:W3CDTF">2023-08-08T09:31:00Z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