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Ogólne wymagania programowe i kryteria oceniania osiągnięć uczniów z religii w klasie VIIas</w:t>
      </w:r>
    </w:p>
    <w:p>
      <w:pPr>
        <w:pStyle w:val="4"/>
        <w:rPr>
          <w:color w:val="auto"/>
        </w:rPr>
      </w:pPr>
      <w:r>
        <w:rPr>
          <w:color w:val="auto"/>
        </w:rPr>
        <w:t>Wymagania programowe i kryteria oceniania</w:t>
      </w:r>
    </w:p>
    <w:p>
      <w:pPr>
        <w:pStyle w:val="85"/>
      </w:pPr>
      <w:r>
        <w:t>I.</w:t>
      </w:r>
      <w:r>
        <w:tab/>
      </w:r>
      <w:r>
        <w:t>Podstawowe:</w:t>
      </w:r>
    </w:p>
    <w:p>
      <w:pPr>
        <w:pStyle w:val="85"/>
        <w:ind w:left="851"/>
      </w:pPr>
      <w:r>
        <w:t>Na ocenę celującą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Spełnia wymagania na ocenę bardzo dobrą.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umiejętności, które są efektem samodzielnej pracy, wynikają z indywidualnych zainteresowań, potrafi je zaprezentować.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bardzo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Wyczerpująco i samodzielnie wypowiada się na temat poruszanego zagadnienia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Wykonuje zadane prace i ćwiczenia na ocenę co najmniej bardzo dobrą, przynosi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Prowadzi na bieżąco zeszyt.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Osiąga sukcesy w konkursach religijnych szkolnych i pozaszkolnych, zdobywa wyróżnienia lub zajmuje wysokie miejsca.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Angażuje się w przygotowanie jasełek, misteriów, rozważań.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Samodzielnie poszerza wiedzę o literaturę religijną, korzysta ze stron internetowych o tematyce religijnej</w:t>
      </w:r>
    </w:p>
    <w:p>
      <w:pPr>
        <w:pStyle w:val="85"/>
        <w:ind w:left="851"/>
      </w:pPr>
      <w:r>
        <w:t>Na ocenę bardzo dobrą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pełny zakres wiadomości i umiejętności wynikających z programu nauczania.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Sprawnie posługuje się nabytymi umiejętnościami, jest zawsze przygotowany i bardzo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Swobodnie i wyczerpująco wypowiada się na dany temat.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W poruszanych tematach dostrzega związki między faktami,  potrafi wyciągnąć wnioski, dokonać całościowej oceny poruszanego zagadnienia.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Posiada i starannie prowadzi zeszyt.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Przynosi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Odznacza się dużą aktywnością na lekcjach religii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Umie współpracować w grupie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Angażuje się w projekty edukacyjne,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Bierze udział w pielgrzymkach wycieczkach.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Angażuje się w życie religijne szkoły: w przygotowanie jasełek, misteriów religijnych, rekolekcji.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aktywny udział w konkursach religijnych szkolnych i pozaszkolnych.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Odnosi się z szacunkiem do innych.</w:t>
      </w:r>
    </w:p>
    <w:p>
      <w:pPr>
        <w:pStyle w:val="85"/>
        <w:ind w:left="851"/>
      </w:pPr>
      <w:r>
        <w:t>Na ocenę dobrą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większość wiadomości i umiejętności wynikających z programu nauczania i potrafi je poprawnie zaprezentować.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zeszyt, jest zawsze przygotowany do katechezy.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Przynosi niezbędne pomoce.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systematycznie i samodzielnie zadane prace i ćwiczenia.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Uczeń posiada wiedzę i umiejętności pozwalającą na samodzielne wykorzystanie, jest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Samodzielnie udziela odpowiedzi na zadany temat, jednak nie wyczerpuje poruszonego zagadnienia.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Opanował materiał programowy z religii w stopniu dobrym.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Stara się aktywnie uczestniczyć w zajęciach lekcyjnych.</w:t>
      </w:r>
    </w:p>
    <w:p>
      <w:pPr>
        <w:pStyle w:val="85"/>
        <w:ind w:left="851"/>
      </w:pPr>
      <w:r>
        <w:t>Na ocenę dostateczną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 niezbędne na danym etapie nauki, pozwalające na rozumienie podstawowych zagadnień.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wyrywkowo stosować wiedzę, proste zagadnienia przedstawia przy pomocy nauczyciela, ale ma braki w wiadomościach.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zeszyt.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niesystematycznie zadane prace i sporadycznie zapomina przynieść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Opanował łatwe, całkowicie niezbędne wiadomości na poziomie dostatecznym.</w:t>
      </w:r>
      <w:r>
        <w:rPr>
          <w:color w:val="000000" w:themeColor="text1"/>
        </w:rPr>
        <w:pgNum/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Udziela odpowiedzi na pytania nauczyciela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Stara się angażować w pracę grupy</w:t>
      </w:r>
    </w:p>
    <w:p>
      <w:pPr>
        <w:pStyle w:val="85"/>
        <w:ind w:left="851"/>
      </w:pPr>
      <w:r>
        <w:t>Na ocenę dopuszczającą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minimalną wiedzę i umiejętności przewidziane w programie nauczania.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Opanował konieczne pojęcia religijne w stopniu dopuszczającym.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Posiada braki w wiedzy i umiejętnościach religijnych, które nie uniemożliwiają mu czynienia postępów w ciągu dalszej nauki.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Przy pomocy nauczyciela udziela odpowiedzi na postawione pytania.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Wykonuje jedynie część wyznaczonej pracy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Prowadzi zeszyt w którym są braki.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Zadania wykonuje sporadycznie.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Rzadko włącza się w pracę grupy.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Proste polecenia, wymagające zastosowania podstawowych umiejętności wykonuje przy pomocy nauczyciela.</w:t>
      </w:r>
    </w:p>
    <w:p>
      <w:pPr>
        <w:pStyle w:val="85"/>
        <w:ind w:left="851"/>
      </w:pPr>
      <w:r>
        <w:t>Na ocenę niedostateczną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spełnia kryteriów wymagań na ocenę dopuszczającą, niezbędnych do opanowania podstawowych umiejętności.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prowadzi zeszytu, nie wykonuje zadawanych prac.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Odmawia wszelkiej współpracy, ma lekceważący stosunek do przedmiotu.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Nie skorzystał z pomocy nauczyciela i kolegów w celu poprawienia oceny.</w:t>
      </w:r>
    </w:p>
    <w:p>
      <w:pPr>
        <w:pStyle w:val="73"/>
        <w:rPr>
          <w:color w:val="auto"/>
        </w:rPr>
      </w:pPr>
    </w:p>
    <w:p>
      <w:pPr>
        <w:pStyle w:val="85"/>
      </w:pPr>
      <w:r>
        <w:t>II.</w:t>
      </w:r>
      <w:r>
        <w:tab/>
      </w:r>
      <w:r>
        <w:t>Szczegółowe:</w:t>
      </w:r>
    </w:p>
    <w:p>
      <w:pPr>
        <w:pStyle w:val="85"/>
      </w:pPr>
      <w:r>
        <w:t>Na ocenę celującą uczeń: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Opanował materiał przewidziany programem w stopniu bardzo dobrym.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Samodzielnie i twórczo rozwija własne zainteresowania przedmiotem.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Bierze udział i osiąga sukcesy w konkursach religijnych.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Biegle posługuje się zdobytą wiedzą; posiada wiedzę często wykraczającą poza program nauczania klasy siódmej.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Opowiada o patronach roku: kim byli św. Brat Albert Chmielowski i św. Karolina Kózkówna. Helenie Kmieć oraz w czym warto ich naśladować.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Opowiada </w:t>
      </w:r>
      <w:r>
        <w:rPr>
          <w:color w:val="auto"/>
        </w:rPr>
        <w:t>o roli słowa Bożego w życiu Karola Wojtyły.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Dzieli się swoją wiedzą.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Jest wzorem i przykładem dla innych uczniów.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Posiada uzupełniony zeszyt.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-   Uzupełnia zdobytą na lekcjach wiedzę przez lekturę literatury religijnej.  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-   Zajmuje wysokie miejsca w organizowanych konkursach religijnych.  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-   Wykonuje dodatkowe (ponadprogramowe) prace (prezentacje, referaty, albumy itp.).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-   Bierze udział w projektach edukacyjnych.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-   Poznaje swój kościół parafialny oraz inne miejsca kultu religijnego. Dzieli się zdobytą wiedzą z rówieśnikami.</w:t>
      </w:r>
    </w:p>
    <w:p>
      <w:pPr>
        <w:pStyle w:val="72"/>
        <w:ind w:left="0" w:firstLine="0"/>
        <w:rPr>
          <w:color w:val="000000" w:themeColor="text1"/>
        </w:rPr>
      </w:pPr>
    </w:p>
    <w:p>
      <w:pPr>
        <w:pStyle w:val="85"/>
      </w:pPr>
      <w:r>
        <w:t>Na ocenę bardzo dobrą uczeń: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Wykazuje się znajomością modlitw i Małego Katechizmu: </w:t>
      </w:r>
      <w:r>
        <w:rPr>
          <w:rStyle w:val="29"/>
          <w:color w:val="000000" w:themeColor="text1"/>
        </w:rPr>
        <w:t>Ojcze nasz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Zdrowaś Maryjo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Modlitwa przed nauką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Duszo Chrystusowa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Anioł Pański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Koronka do Bożego Miłosierdzia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Święty Michale Archaniele, Aktów: wiary, nadziei</w:t>
      </w:r>
      <w:r>
        <w:rPr>
          <w:color w:val="000000" w:themeColor="text1"/>
        </w:rPr>
        <w:t>,</w:t>
      </w:r>
      <w:r>
        <w:rPr>
          <w:rStyle w:val="29"/>
          <w:color w:val="000000" w:themeColor="text1"/>
        </w:rPr>
        <w:t xml:space="preserve"> miłości i żalu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Dekalog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dwa przykazania miłości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przykazania kościelne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sakramenty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uczynki miłosierdzia względem ciała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uczynki miłosierdzia względem duszy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cztery cnoty główne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grzechy cudze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grzechy przeciw Duchowi Świętemu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grzechy wołające o pomstę do nieba</w:t>
      </w:r>
      <w:r>
        <w:rPr>
          <w:color w:val="000000" w:themeColor="text1"/>
        </w:rPr>
        <w:t xml:space="preserve">, </w:t>
      </w:r>
      <w:r>
        <w:rPr>
          <w:rStyle w:val="29"/>
          <w:color w:val="000000" w:themeColor="text1"/>
        </w:rPr>
        <w:t>siedem grzechów głównych</w:t>
      </w:r>
      <w:r>
        <w:rPr>
          <w:color w:val="000000" w:themeColor="text1"/>
        </w:rPr>
        <w:t xml:space="preserve">, </w:t>
      </w:r>
      <w:r>
        <w:rPr>
          <w:i/>
          <w:color w:val="000000" w:themeColor="text1"/>
        </w:rPr>
        <w:t>Dary Ducha świętego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wartości nadające sens ludzkiemu życiu.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przymioty wiary.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na trudności w wierze i przedstawia sposoby ich przezwyciężania.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 wartość świadectwa wiary w różnych sytuacjach życiowych.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Omawia, czym jest modlitwa i wskazuje jej konieczność w pogłębianiu więzi z Bogiem.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rodzaje i formy modlitwy, a także postawy modlitewne; tworzy własne modlitwy.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sposoby przezwyciężania trudności w modlitwie.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przykłady modlitwy ludzi znanych z Biblii, z historii i współczesnych.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Analizuje i interpretuje teksty dotyczące modlitwy Jezusa.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na przyczyny zła i uzasadnia, że jest ono konsekwencją odrzucenia Boga.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pojęcie wolnej woli.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sposoby działalności złego ducha.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piekło.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grzech ciężki, lekki, społeczny.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wpływ okoliczności na rodzaj grzechu.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skutki dobra i zła.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we współczesnej kulturze zafałszowane wizje szczęścia.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są zachowania ryzykowne.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na najważniejsze zagrożenia wynikające z uzależnień dzisiejszej młodzieży: alkoholizm, fonoholizm, siecioholizm, narkomania, pornografia, hazard, gry komputerowe.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Omawia, jak pracować nad własnym rozwojem emocjonalnym i społecznym.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są Boże przykazania i jaki jest ich sens.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pojęcia: </w:t>
      </w:r>
      <w:r>
        <w:rPr>
          <w:rStyle w:val="29"/>
          <w:color w:val="auto"/>
        </w:rPr>
        <w:t>ateizm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deizm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niewiara</w:t>
      </w:r>
      <w:r>
        <w:rPr>
          <w:color w:val="auto"/>
        </w:rPr>
        <w:t xml:space="preserve"> i </w:t>
      </w:r>
      <w:r>
        <w:rPr>
          <w:rStyle w:val="29"/>
          <w:color w:val="auto"/>
        </w:rPr>
        <w:t>agnostycyzm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zadania wynikające z przykazań Bożych oraz negatywne skutki wykroczeń przeciw nim.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że zabobon, bałwochwalstwo, wróżbiarstwo oraz magia są wynikiem fałszywego obrazu Boga.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 niepowtarzalną wartość życia ludzkiego i jego świętość.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 wartość czystości w różnych okresach życia i rozwija pozytywny stosunek do daru płciowości.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naturę, sposób obecności i działania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wydarzenie zesłania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jest Kościół.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i omawia dary Ducha Świętego i wyjaśnia ich znaczenie.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owoce działania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są charyzmaty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pojęcie grzechu przeciwko Duchowi Świętemu.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podstawowe fakty z życia, działalności i nauczania Jezusa Chrystusa w porządku chronologicznym.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zbawczy sens Wcielenia i Odkupienia.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specyfikę i przesłanie poszczególnych Ewangelii.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zasady i tłumaczy wartość indywidualnej lektury Pisma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 oparciu o wybrane teksty Starego i Nowego Testamentu charakteryzuje rolę Maryi w dziele zbawczym.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cztery dogmaty maryjne: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Boże Macierzyństwo,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 xml:space="preserve">Wieczyste Dziewictwo,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Niepokalane Poczęcie,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Wniebowzięcie.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i opisuje miesiące i święta maryjne.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 religijny wymiar uroczystości maryjnych; charakteryzuje istotę kultu Maryi oraz świętych.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Na podstawie tekstów biblijnych oraz Tradycji Kościoła wskazuje osoby żyjące modlitwą maryjną oraz wymienia formy tej modlitwy.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Formułuje własnymi słowami modlitwę w oparciu o teksty biblijne (maryjne).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chrześcijaństwo czasów jagiellońskich (św. Jadwiga).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rolę Kościoła w nauce i sztuce renesansu europejskiego.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działalność Kościoła w XVI i XVII w. na przykładzie św. Franciszka Ksawerego i św. Wincentego a Paulo.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życiu i działalności św. Franciszka Ksawerego i św. Ignacego Loyoli oraz o znaczeniu zakonu jezuitów.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główne Kościoły protestanckie i wskazuje na najistotniejsze różnice między protestantyzmem a Kościołem katolickim; potrafi nazwać Kościoły protestanckie w swojej okolicy.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ogólnie przyczyny zwołania i postanowienia Soboru Trydenckiego (osoba Marcina Lutra, reformacja i odpowiedź Kościoła, działalność św. Karola Boromeusza).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pojęcia: </w:t>
      </w:r>
      <w:r>
        <w:rPr>
          <w:rStyle w:val="29"/>
          <w:color w:val="auto"/>
        </w:rPr>
        <w:t>ekumenizm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Państwo Kościelne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Watykan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znaczenie Kościoła dla rozwoju szkolnictwa w Polsce XVI–XVIII 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nauczanie Jezusa Chrystusa dotyczące kształtowania życia chrześcijanina.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rady ewangeliczne oraz cnoty kardynalne jako wskazania dla każdego chrześcijanina.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pojęcia: </w:t>
      </w:r>
      <w:r>
        <w:rPr>
          <w:rStyle w:val="29"/>
          <w:color w:val="auto"/>
        </w:rPr>
        <w:t>przykazanie miłości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miłosierdzie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rady ewangeliczne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błogosławieństwa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cnoty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życie konsekrowane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właściwe motywy przyjęcia sakramentu bierzmowania jako dopełnienia chrztu.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zeszyt.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     -   Potrafi opowiedzieć o swoim i lokalnych kościołach i miejscach kultu.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     -   Bierze aktywny udział w projektach edukacyjnych</w:t>
      </w:r>
    </w:p>
    <w:p>
      <w:pPr>
        <w:pStyle w:val="72"/>
        <w:rPr>
          <w:color w:val="000000" w:themeColor="text1"/>
        </w:rPr>
      </w:pPr>
    </w:p>
    <w:p>
      <w:pPr>
        <w:pStyle w:val="85"/>
        <w:ind w:left="0"/>
      </w:pPr>
      <w:r>
        <w:t>Na ocenę dobrą uczeń: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    –   Posiada uzupełniony zeszyt.  </w:t>
      </w:r>
    </w:p>
    <w:p>
      <w:pPr>
        <w:pStyle w:val="73"/>
        <w:rPr>
          <w:color w:val="auto"/>
        </w:rPr>
      </w:pPr>
      <w:r>
        <w:rPr>
          <w:color w:val="auto"/>
        </w:rPr>
        <w:t>-   Wymienia większość modlitw przewidzianych w programie nauczania.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przymioty wiary.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trudnościach w wierze i przedstawia sposoby ich przezwyciężania.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wartości świadectwa wiary w różnych sytuacjach życiowych.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Omawia, czym jest modlitwa i wskazuje jej konieczność w pogłębianiu więzi z Bogiem.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rodzaje i formy modlitwy, a także postawy modlitewne; tworzy własne modlitwy.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sposobach przezwyciężania trudności w modlitwie.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modlitwie Jezusa.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Wskazuje na przyczyny zła i uzasadnia, że jest ono konsekwencją odrzucenia Boga.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pojęcia: </w:t>
      </w:r>
      <w:r>
        <w:rPr>
          <w:rStyle w:val="29"/>
          <w:color w:val="auto"/>
        </w:rPr>
        <w:t>wolna wola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ciężki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lekki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społeczny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okoliczności grzechu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zły duch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piekło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zachowania ryzykowne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ateizm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deizm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niewiara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agnostycyzm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zabobon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bałwochwalstwo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wróżbiarstwo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magia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ekumenizm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Państwo Kościelne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Watykan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przykazanie miłości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miłosierdzie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rady ewangeliczne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błogosławieństwa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cnoty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życie konsekrowane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najważniejszych zagrożeniach wynikających z uzależnień.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Wyjaśnia, czym są Boże przykazania i jaki jest ich sens.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wartości życia ludzkiego i jego świętości.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argumenty za prawdą, że tylko Bóg może decydować o życiu i śmierci człowieka, uzasadniając potrzebę ochrony życia od poczęcia do naturalnej śmierci.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naturze, sposobie, obecności i działaniu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wydarzenie zesłania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i omawia dary, owoce i charyzmaty Ducha Świętego; wyjaśnia ich znaczenie.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pojęcie grzechu przeciwko Duchowi Świętemu.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Przedstawia podstawowe fakty z życia, działalności i nauczania Jezusa Chrystusa.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Wyjaśnia zbawczy sens Wcielenia i Odkupienia.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przesłaniu poszczególnych Ewangelii.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zasady i tłumaczy wartość indywidualnej lektury Pisma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Charakteryzuje rolę Maryi w dziele zbawczym.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cztery dogmaty maryjne: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Boże Macierzyństwo,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 xml:space="preserve">Wieczyste Dziewictwo,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Niepokalane Poczęcie,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Wniebowzięcie.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religijny wymiar uroczystości maryjnych i charakteryzuje istotę kultu Maryi.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osobach żyjących modlitwą maryjną oraz o formach tej modlitwy.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Formułuje własnymi słowami modlitwę w oparciu o teksty biblijne (maryjne).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Opisuje chrześcijaństwo czasów jagiellońskich (św. Jadwiga).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roli Kościoła w nauce i sztuce renesansu europejskiego.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działalność św. Franciszka Ksawerego, św. Wincentego a Paulo i św. Ignacego Loyoli.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główne Kościoły protestanckie i wskazuje na najistotniejsze różnice między protestantyzmem a Kościołem katolickim.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przyczynach zwołania i postanowieniach Soboru Trydenckiego.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znaczeniu Kościoła dla rozwoju szkolnictwa w Polsce XVI–XVIII 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Uzasadnia, że Polska była krajem tolerancji religijnej.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nauczanie Jezusa Chrystusa dotyczące kształtowania życia chrześcijanina.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Omawia rady ewangeliczne oraz cnoty kardynalne jako wskazania dla każdego chrześcijanina.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Podaje właściwe motywy przyjęcia sakramentu bierzmowania jako dopełnienia chrztu.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uzupełnione ćwiczenia (zeszyt).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     -    Zna swój kościół parafialny oraz inne lokalne kościoły.</w:t>
      </w:r>
    </w:p>
    <w:p>
      <w:pPr>
        <w:pStyle w:val="72"/>
        <w:rPr>
          <w:color w:val="000000" w:themeColor="text1"/>
        </w:rPr>
      </w:pPr>
      <w:r>
        <w:rPr>
          <w:color w:val="000000" w:themeColor="text1"/>
        </w:rPr>
        <w:t xml:space="preserve">     -   Uczestniczy w projektach edukacyjnych.</w:t>
      </w:r>
    </w:p>
    <w:p>
      <w:pPr>
        <w:pStyle w:val="72"/>
      </w:pPr>
    </w:p>
    <w:p>
      <w:pPr>
        <w:pStyle w:val="72"/>
        <w:ind w:left="0" w:firstLine="0"/>
        <w:rPr>
          <w:b/>
          <w:color w:val="C55911" w:themeColor="accent2" w:themeShade="BF"/>
        </w:rPr>
      </w:pPr>
      <w:r>
        <w:rPr>
          <w:b/>
          <w:color w:val="C55911" w:themeColor="accent2" w:themeShade="BF"/>
        </w:rPr>
        <w:t>Na ocenę dostateczną uczeń:</w:t>
      </w:r>
    </w:p>
    <w:p>
      <w:pPr>
        <w:pStyle w:val="72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-   Posiada uzupełniony zeszyt.  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część modlitw przewidzianych w programie nauczania.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wierze (przymioty, trudności i sposoby ich przezwyciężania).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roli świadectwa wiary.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modlitwie (rodzaje i formy, postawy modlitewne, trudności i sposoby ich przezwyciężania).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modlitwie Jezusa.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złu jako o konsekwencji odrzucenia Boga.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Z pomocą nauczyciela wyjaśnia pojęcia: </w:t>
      </w:r>
      <w:r>
        <w:rPr>
          <w:rStyle w:val="29"/>
          <w:color w:val="auto"/>
        </w:rPr>
        <w:t>wolna wola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ciężki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lekki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okoliczności grzechu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zły duch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piekło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zachowania ryzykowne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ateizm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deizm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niewiara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agnostycyzm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zabobon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bałwochwalstwo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wróżbiarstwo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magia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ekumenizm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Państwo Kościelne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Watykan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przykazanie miłości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miłosierdzie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rady ewangeliczne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błogosławieństwa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cnoty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życie konsekrowane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Wcielenie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Odkupienie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zagrożeniach wynikających z uzależnień.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przykazaniach Bożych.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Duchu Świętym i wydarzeniu Pięćdziesiątnicy.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dary, owoce i charyzmaty Ducha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grzechy przeciwko Duchowi Świętemu.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życiu, działalności i nauczaniu Jezusa Chrystusa.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poszczególnych Ewangeliach.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znaczeniu indywidualnej lektury Pisma Świętego.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roli Maryi w dziele zbawczym.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Wymienia cztery dogmaty maryjne: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Boże Macierzyństwo,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 xml:space="preserve">Wieczyste Dziewictwo, 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Niepokalane Poczęcie,</w:t>
      </w:r>
    </w:p>
    <w:p>
      <w:pPr>
        <w:pStyle w:val="73"/>
        <w:ind w:left="1996" w:hanging="360"/>
        <w:rPr>
          <w:color w:val="auto"/>
        </w:rPr>
      </w:pPr>
      <w:r>
        <w:rPr>
          <w:rFonts w:ascii="Symbol" w:hAnsi="Symbol"/>
          <w:color w:val="auto"/>
        </w:rPr>
        <w:t></w:t>
      </w:r>
      <w:r>
        <w:rPr>
          <w:rFonts w:ascii="Symbol" w:hAnsi="Symbol"/>
          <w:color w:val="auto"/>
        </w:rPr>
        <w:tab/>
      </w:r>
      <w:r>
        <w:rPr>
          <w:color w:val="auto"/>
        </w:rPr>
        <w:t>Wniebowzięcie.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religijnym wymiarze uroczystości maryjnych.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Formułuje własnymi słowami modlitwę w oparciu o teksty biblijne (maryjne).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św. Jadwidze.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renesansie.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św. Franciszku Ksawerym, św. Wincentym a Paulo i św. Ignacym Loyoli.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główne Kościoły protestanckie i wymienia najistotniejsze różnice między protestantyzmem a Kościołem katolickim.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reformacji i kontrreformacji w Kościele.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znaczeniu Kościoła dla rozwoju szkolnictwa w Polsce XVI–XVIII 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Uzasadnia, że Polska była krajem tolerancji religijnej.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motywach przyjęcia sakramentu bierzmowania.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wychowawców..</w:t>
      </w:r>
    </w:p>
    <w:p>
      <w:pPr>
        <w:pStyle w:val="72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 -   Rozpoznaje swój kościół parafialny.</w:t>
      </w:r>
    </w:p>
    <w:p>
      <w:pPr>
        <w:pStyle w:val="72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 -  Sporadycznie uczestniczy w działaniach projektowych.</w:t>
      </w:r>
    </w:p>
    <w:p>
      <w:pPr>
        <w:pStyle w:val="72"/>
        <w:ind w:left="0" w:firstLine="0"/>
        <w:rPr>
          <w:color w:val="000000" w:themeColor="text1"/>
        </w:rPr>
      </w:pPr>
    </w:p>
    <w:p>
      <w:pPr>
        <w:pStyle w:val="72"/>
        <w:ind w:left="0" w:firstLine="0"/>
        <w:rPr>
          <w:b/>
          <w:color w:val="ED7D31" w:themeColor="accent2"/>
        </w:rPr>
      </w:pPr>
      <w:r>
        <w:rPr>
          <w:b/>
          <w:color w:val="ED7D31" w:themeColor="accent2"/>
        </w:rPr>
        <w:t>Na ocenę dopuszczającą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Wymienia kilka modlitw przewidzianych w programie nauczania.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wierze.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roli świadectwa wiary.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modlitwie.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złu jako o konsekwencji odrzucenia Boga.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 xml:space="preserve">Wyjaśnia niektóre pojęcia: </w:t>
      </w:r>
      <w:r>
        <w:rPr>
          <w:rStyle w:val="29"/>
          <w:color w:val="auto"/>
        </w:rPr>
        <w:t>wolna wola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ciężki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grzech lekki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okoliczności grzechu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zły duch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piekło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zachowania ryzykowne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ateizm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deizm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niewiara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agnostycyzm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zabobon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bałwochwalstwo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wróżbiarstwo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magia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ekumenizm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Państwo Kościelne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Watykan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przykazanie miłości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miłosierdzie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rady ewangeliczne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błogosławieństwa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cnoty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życie konsekrowane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Wcielenie</w:t>
      </w:r>
      <w:r>
        <w:rPr>
          <w:color w:val="auto"/>
        </w:rPr>
        <w:t xml:space="preserve">, </w:t>
      </w:r>
      <w:r>
        <w:rPr>
          <w:rStyle w:val="29"/>
          <w:color w:val="auto"/>
        </w:rPr>
        <w:t>Odkupienie</w:t>
      </w:r>
      <w:r>
        <w:rPr>
          <w:color w:val="auto"/>
        </w:rPr>
        <w:t>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uzależnieniach.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przykazaniach Bożych.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Duchu Świętym.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życiu, działalności i nauczaniu Jezusa Chrystusa.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Ewangeliach.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roli Maryi w dziele zbawczym.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religijnym wymiarze uroczystości maryjnych.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św. Jadwidze.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renesansie.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św. Franciszku Ksawerym, św. Wincentym a Paulo i św. Ignacym Loyoli.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ogólnie o reformacji i kontrreformacji w Kościele.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znaczeniu Kościoła i szkolnictwie w Polsce XVI–XVIII 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Polsce jako kraju tolerancji religijnej.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Opowiada o motywach przyjęcia sakramentu bierzmowania.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 szacunkiem odnosi się do kapłanów, rodziców, nauczycieli i wychowawców.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zeszyt, w którym są liczne braki.</w:t>
      </w:r>
    </w:p>
    <w:p>
      <w:pPr>
        <w:pStyle w:val="85"/>
        <w:ind w:left="0"/>
      </w:pPr>
      <w:r>
        <w:t>Na ocenę niedostateczną uczeń:</w:t>
      </w:r>
    </w:p>
    <w:p>
      <w:pPr>
        <w:pStyle w:val="72"/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Nie spełnia wymagań na ocenę dopuszczającą</w:t>
      </w:r>
      <w:r>
        <w:t>.</w:t>
      </w:r>
    </w:p>
    <w:p>
      <w:pPr>
        <w:pStyle w:val="72"/>
      </w:pPr>
    </w:p>
    <w:p>
      <w:pPr>
        <w:pStyle w:val="4"/>
        <w:rPr>
          <w:color w:val="auto"/>
        </w:rPr>
      </w:pPr>
      <w:r>
        <w:rPr>
          <w:color w:val="auto"/>
        </w:rPr>
        <w:t>Obszary aktywności ucznia podlegające ocenie</w:t>
      </w:r>
    </w:p>
    <w:p>
      <w:pPr>
        <w:pStyle w:val="72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>
        <w:rPr>
          <w:color w:val="auto"/>
        </w:rPr>
        <w:t>Wiadomości i umiejętności określone w programie nauczania: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Formy ustne: odpowiedzi ustne, opowiadania odtwórcze i twórcze, dialog.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Formy pisemne: sprawdziany, testy, kartkówki, zadania, ćwiczenia wykonane na lekcji.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Poprawne stosowanie podstawowych pojęć religijnych.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Rozumienie znaczenia poznanych zagadnień i zastosowanie ich w praktyce.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Łączenie elementów wiedzy z życiem.</w:t>
      </w:r>
    </w:p>
    <w:p>
      <w:pPr>
        <w:pStyle w:val="72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>
        <w:rPr>
          <w:color w:val="auto"/>
        </w:rPr>
        <w:t>Aktywność na lekcji: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Zainteresowanie tematem katechezy.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Kreatywność, inicjatywa.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Pilność, samodyscyplina.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Współpraca w zespole.</w:t>
      </w:r>
    </w:p>
    <w:p>
      <w:pPr>
        <w:pStyle w:val="72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>
        <w:rPr>
          <w:color w:val="auto"/>
        </w:rPr>
        <w:t>Przygotowanie do katechezy, prowadzenie zeszytu i ćwiczeń: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Staranne i estetyczne prowadzenie zeszytu przedmiotowego oraz ćwiczeń.</w:t>
      </w:r>
    </w:p>
    <w:p>
      <w:pPr>
        <w:pStyle w:val="72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>
        <w:rPr>
          <w:color w:val="auto"/>
        </w:rPr>
        <w:t>Zadania: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Stopień i poprawność zrozumienia i wykonania zadania.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Samodzielność w wykonaniu zadania.</w:t>
      </w:r>
    </w:p>
    <w:p>
      <w:pPr>
        <w:pStyle w:val="72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rPr>
          <w:color w:val="auto"/>
        </w:rPr>
        <w:t>Aktywność dodatkowa, pozalekcyjna: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Udział w konkursach religijnych (szkolnych i pozaszkolnych).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zajęcie I, II, III miejsca lub wyróżnienia w konkursach religijnych otrzymuje ocenę celującą.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Wykonywanie pomocy dydaktycznych, realizacja projektów szkolnych.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Podejmowanie działań wynikających z głównego celu katechezy.</w:t>
      </w:r>
    </w:p>
    <w:p>
      <w:pPr>
        <w:pStyle w:val="73"/>
        <w:rPr>
          <w:color w:val="auto"/>
        </w:rPr>
      </w:pPr>
      <w:r>
        <w:rPr>
          <w:color w:val="auto"/>
        </w:rPr>
        <w:t>-   Działalność wolontaryjna m.in. Kaktusy Helenki</w:t>
      </w:r>
    </w:p>
    <w:p>
      <w:pPr>
        <w:pStyle w:val="68"/>
        <w:ind w:firstLine="0"/>
      </w:pPr>
      <w:r>
        <w:t xml:space="preserve">Poprawa oceny: </w:t>
      </w:r>
    </w:p>
    <w:p>
      <w:pPr>
        <w:pStyle w:val="68"/>
        <w:ind w:firstLine="0"/>
      </w:pPr>
      <w:r>
        <w:t xml:space="preserve">W przypadku otrzymania ze sprawdzianu lub testu oceny niedostatecznej, uczeń ma prawo do jednorazowej jej poprawy, przy czym w dzienniku zachowane są dwie oceny.  </w:t>
      </w:r>
    </w:p>
    <w:p>
      <w:pPr>
        <w:pStyle w:val="68"/>
        <w:ind w:firstLine="0"/>
      </w:pPr>
      <w:r>
        <w:t xml:space="preserve">W przypadku otrzymania z odpowiedzi ustnej lub kartkówki oceny niedostatecznej uczeń ma prawo do jej poprawienia, w terminie uzgodnionym z nauczycielem. </w:t>
      </w:r>
    </w:p>
    <w:p>
      <w:pPr>
        <w:pStyle w:val="68"/>
        <w:ind w:firstLine="0"/>
        <w:rPr>
          <w:b/>
        </w:rPr>
      </w:pPr>
      <w:r>
        <w:rPr>
          <w:b/>
        </w:rPr>
        <w:t xml:space="preserve">Przewidywane osiągnięcia uczniów:  </w:t>
      </w:r>
    </w:p>
    <w:p>
      <w:pPr>
        <w:pStyle w:val="68"/>
        <w:ind w:firstLine="0"/>
        <w:jc w:val="left"/>
      </w:pPr>
      <w:r>
        <w:t xml:space="preserve">- Znajomość okresów liturgicznych i rozumienie ich w kontekście biblijnym i życia chrześcijańskiego;  - Umiejętność posługiwania się Pismem Świętym;  </w:t>
      </w:r>
    </w:p>
    <w:p>
      <w:pPr>
        <w:pStyle w:val="68"/>
        <w:ind w:firstLine="0"/>
        <w:jc w:val="left"/>
      </w:pPr>
      <w:r>
        <w:t xml:space="preserve">- Umiejętność kształtowania własnego sumienia, osobowości, charakteru w oparciu o prawo Boże;  </w:t>
      </w:r>
    </w:p>
    <w:p>
      <w:pPr>
        <w:pStyle w:val="68"/>
        <w:ind w:firstLine="0"/>
        <w:jc w:val="left"/>
      </w:pPr>
      <w:r>
        <w:t xml:space="preserve">- Zrozumienie Dekalogu jako podstawowych zasad moralnych i drogowskazów dla każdego człowieka    - Zrozumienie istoty modlitwy i dostrzeżenie bogactwa Modlitwy Pańskiej  </w:t>
      </w:r>
    </w:p>
    <w:p>
      <w:pPr>
        <w:pStyle w:val="68"/>
        <w:ind w:firstLine="0"/>
        <w:jc w:val="left"/>
      </w:pPr>
      <w:r>
        <w:t xml:space="preserve">- Wykształcenie umiejętności rozwiązywania trudnych sytuacji w duchu chrześcijańskim; </w:t>
      </w:r>
    </w:p>
    <w:p>
      <w:pPr>
        <w:pStyle w:val="68"/>
        <w:ind w:firstLine="0"/>
        <w:jc w:val="left"/>
      </w:pPr>
      <w:r>
        <w:t xml:space="preserve">- Umiejętność reagowania na niewłaściwe zachowania;  </w:t>
      </w:r>
    </w:p>
    <w:p>
      <w:pPr>
        <w:pStyle w:val="68"/>
        <w:ind w:firstLine="0"/>
        <w:jc w:val="left"/>
      </w:pPr>
      <w:r>
        <w:t>- Zrozumienie istoty powołania każdego człowieka.</w:t>
      </w:r>
    </w:p>
    <w:p>
      <w:pPr>
        <w:pStyle w:val="68"/>
        <w:ind w:firstLine="0"/>
        <w:jc w:val="left"/>
      </w:pPr>
      <w:r>
        <w:t xml:space="preserve"> - Umiejętność kształtowania prawdziwego obrazu siebie. </w:t>
      </w:r>
    </w:p>
    <w:p>
      <w:pPr>
        <w:pStyle w:val="68"/>
        <w:ind w:firstLine="0"/>
        <w:jc w:val="left"/>
      </w:pPr>
      <w:r>
        <w:t xml:space="preserve">- Zaangażowanie w różne formy apostolstwa;  </w:t>
      </w:r>
    </w:p>
    <w:p>
      <w:pPr>
        <w:pStyle w:val="68"/>
        <w:ind w:firstLine="0"/>
        <w:jc w:val="left"/>
      </w:pPr>
      <w:r>
        <w:t xml:space="preserve">- Umiejętność wyrażania własnych opinii;  </w:t>
      </w:r>
    </w:p>
    <w:p>
      <w:pPr>
        <w:pStyle w:val="68"/>
        <w:ind w:firstLine="0"/>
        <w:jc w:val="left"/>
      </w:pPr>
      <w:r>
        <w:t>- Postawa akceptacji i tolerancji.</w:t>
      </w:r>
    </w:p>
    <w:sectPr>
      <w:footerReference r:id="rId5" w:type="default"/>
      <w:footerReference r:id="rId6" w:type="even"/>
      <w:pgSz w:w="11906" w:h="16838"/>
      <w:pgMar w:top="1417" w:right="1417" w:bottom="1417" w:left="1417" w:header="709" w:footer="709" w:gutter="0"/>
      <w:cols w:space="708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80000001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imes (OT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7052055"/>
      <w:docPartObj>
        <w:docPartGallery w:val="AutoText"/>
      </w:docPartObj>
    </w:sdtPr>
    <w:sdtContent>
      <w:p>
        <w:pPr>
          <w:pStyle w:val="17"/>
          <w:ind w:firstLine="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8814657"/>
      <w:docPartObj>
        <w:docPartGallery w:val="AutoText"/>
      </w:docPartObj>
    </w:sdtPr>
    <w:sdtContent>
      <w:p>
        <w:pPr>
          <w:pStyle w:val="17"/>
          <w:ind w:firstLine="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E"/>
    <w:multiLevelType w:val="singleLevel"/>
    <w:tmpl w:val="0000001E"/>
    <w:lvl w:ilvl="0" w:tentative="0">
      <w:start w:val="1"/>
      <w:numFmt w:val="bullet"/>
      <w:pStyle w:val="105"/>
      <w:lvlText w:val="-"/>
      <w:lvlJc w:val="left"/>
      <w:pPr>
        <w:tabs>
          <w:tab w:val="left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08"/>
  <w:autoHyphenation/>
  <w:hyphenationZone w:val="425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6"/>
    <w:rsid w:val="00004B0F"/>
    <w:rsid w:val="0008763B"/>
    <w:rsid w:val="000876C9"/>
    <w:rsid w:val="000C31D2"/>
    <w:rsid w:val="000C3495"/>
    <w:rsid w:val="000C43B8"/>
    <w:rsid w:val="000C7C8C"/>
    <w:rsid w:val="000E7639"/>
    <w:rsid w:val="00117AA4"/>
    <w:rsid w:val="00133D38"/>
    <w:rsid w:val="00154FAE"/>
    <w:rsid w:val="001930E2"/>
    <w:rsid w:val="001E0B08"/>
    <w:rsid w:val="001E11B0"/>
    <w:rsid w:val="001F2AC4"/>
    <w:rsid w:val="00245BD2"/>
    <w:rsid w:val="0028750F"/>
    <w:rsid w:val="002A5FE8"/>
    <w:rsid w:val="00321243"/>
    <w:rsid w:val="00333155"/>
    <w:rsid w:val="0034416A"/>
    <w:rsid w:val="003B47C9"/>
    <w:rsid w:val="00420CE8"/>
    <w:rsid w:val="004356AF"/>
    <w:rsid w:val="00445783"/>
    <w:rsid w:val="00450F44"/>
    <w:rsid w:val="004730CF"/>
    <w:rsid w:val="004938F6"/>
    <w:rsid w:val="0059077B"/>
    <w:rsid w:val="005C776E"/>
    <w:rsid w:val="00650845"/>
    <w:rsid w:val="00651973"/>
    <w:rsid w:val="00652E18"/>
    <w:rsid w:val="00665B34"/>
    <w:rsid w:val="00670633"/>
    <w:rsid w:val="006C7760"/>
    <w:rsid w:val="006E0F77"/>
    <w:rsid w:val="007107ED"/>
    <w:rsid w:val="0072427C"/>
    <w:rsid w:val="007B4368"/>
    <w:rsid w:val="007D53BE"/>
    <w:rsid w:val="007F1694"/>
    <w:rsid w:val="0081332D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9C6B2F"/>
    <w:rsid w:val="00A11332"/>
    <w:rsid w:val="00A4400E"/>
    <w:rsid w:val="00A91F8E"/>
    <w:rsid w:val="00AD4526"/>
    <w:rsid w:val="00AF3318"/>
    <w:rsid w:val="00B45695"/>
    <w:rsid w:val="00B868EB"/>
    <w:rsid w:val="00B97B49"/>
    <w:rsid w:val="00C63908"/>
    <w:rsid w:val="00CA062E"/>
    <w:rsid w:val="00CA1228"/>
    <w:rsid w:val="00CB484C"/>
    <w:rsid w:val="00D42225"/>
    <w:rsid w:val="00D611C8"/>
    <w:rsid w:val="00D66606"/>
    <w:rsid w:val="00D91740"/>
    <w:rsid w:val="00DB590F"/>
    <w:rsid w:val="00DB7FDD"/>
    <w:rsid w:val="00DC3BD8"/>
    <w:rsid w:val="00DE61B0"/>
    <w:rsid w:val="00E40D80"/>
    <w:rsid w:val="00E47ACE"/>
    <w:rsid w:val="00EC18AD"/>
    <w:rsid w:val="00EE7C8D"/>
    <w:rsid w:val="00F02F47"/>
    <w:rsid w:val="00F23345"/>
    <w:rsid w:val="00F544C7"/>
    <w:rsid w:val="00FC69ED"/>
    <w:rsid w:val="00FD3BAE"/>
    <w:rsid w:val="00FE4A41"/>
    <w:rsid w:val="08F82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 w:eastAsiaTheme="minorEastAsia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pageBreakBefore/>
      <w:tabs>
        <w:tab w:val="left" w:pos="432"/>
        <w:tab w:val="left" w:pos="851"/>
        <w:tab w:val="clear" w:pos="765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3">
    <w:name w:val="heading 2"/>
    <w:basedOn w:val="1"/>
    <w:next w:val="1"/>
    <w:link w:val="32"/>
    <w:qFormat/>
    <w:uiPriority w:val="0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4">
    <w:name w:val="heading 3"/>
    <w:basedOn w:val="1"/>
    <w:next w:val="1"/>
    <w:link w:val="33"/>
    <w:qFormat/>
    <w:uiPriority w:val="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hAnsi="Cambria" w:eastAsia="Times New Roman"/>
      <w:b/>
      <w:bCs/>
      <w:i/>
      <w:iCs/>
      <w:color w:val="4F81BD"/>
      <w:lang w:eastAsia="ar-SA"/>
    </w:rPr>
  </w:style>
  <w:style w:type="paragraph" w:styleId="6">
    <w:name w:val="heading 6"/>
    <w:basedOn w:val="1"/>
    <w:next w:val="1"/>
    <w:link w:val="35"/>
    <w:qFormat/>
    <w:uiPriority w:val="0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hAnsi="Calibri" w:eastAsia="Times New Roman"/>
      <w:b/>
      <w:bCs/>
      <w:color w:val="auto"/>
      <w:lang w:eastAsia="ar-SA"/>
    </w:rPr>
  </w:style>
  <w:style w:type="paragraph" w:styleId="7">
    <w:name w:val="heading 7"/>
    <w:basedOn w:val="1"/>
    <w:next w:val="8"/>
    <w:link w:val="36"/>
    <w:qFormat/>
    <w:uiPriority w:val="0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9">
    <w:name w:val="heading 8"/>
    <w:basedOn w:val="1"/>
    <w:next w:val="8"/>
    <w:link w:val="37"/>
    <w:qFormat/>
    <w:uiPriority w:val="0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10">
    <w:name w:val="heading 9"/>
    <w:basedOn w:val="1"/>
    <w:next w:val="8"/>
    <w:link w:val="38"/>
    <w:qFormat/>
    <w:uiPriority w:val="0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49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styleId="13">
    <w:name w:val="Balloon Text"/>
    <w:basedOn w:val="1"/>
    <w:link w:val="5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45"/>
    <w:qFormat/>
    <w:uiPriority w:val="99"/>
    <w:pPr>
      <w:ind w:firstLine="708"/>
    </w:pPr>
    <w:rPr>
      <w:sz w:val="24"/>
      <w:szCs w:val="24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paragraph" w:styleId="16">
    <w:name w:val="annotation text"/>
    <w:basedOn w:val="1"/>
    <w:link w:val="52"/>
    <w:semiHidden/>
    <w:unhideWhenUsed/>
    <w:qFormat/>
    <w:uiPriority w:val="99"/>
    <w:rPr>
      <w:sz w:val="20"/>
      <w:szCs w:val="20"/>
    </w:rPr>
  </w:style>
  <w:style w:type="paragraph" w:styleId="17">
    <w:name w:val="footer"/>
    <w:basedOn w:val="1"/>
    <w:link w:val="51"/>
    <w:qFormat/>
    <w:uiPriority w:val="99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18">
    <w:name w:val="header"/>
    <w:basedOn w:val="1"/>
    <w:link w:val="50"/>
    <w:qFormat/>
    <w:uiPriority w:val="0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styleId="19">
    <w:name w:val="Hyperlink"/>
    <w:qFormat/>
    <w:uiPriority w:val="99"/>
    <w:rPr>
      <w:color w:val="0000FF"/>
      <w:u w:val="single"/>
    </w:rPr>
  </w:style>
  <w:style w:type="paragraph" w:styleId="20">
    <w:name w:val="index 1"/>
    <w:basedOn w:val="1"/>
    <w:next w:val="1"/>
    <w:semiHidden/>
    <w:unhideWhenUsed/>
    <w:qFormat/>
    <w:uiPriority w:val="99"/>
    <w:pPr>
      <w:tabs>
        <w:tab w:val="clear" w:pos="765"/>
      </w:tabs>
      <w:ind w:left="220" w:hanging="220"/>
    </w:pPr>
  </w:style>
  <w:style w:type="paragraph" w:styleId="21">
    <w:name w:val="List"/>
    <w:basedOn w:val="8"/>
    <w:qFormat/>
    <w:uiPriority w:val="0"/>
    <w:pPr/>
    <w:rPr>
      <w:rFonts w:cs="Arial"/>
    </w:rPr>
  </w:style>
  <w:style w:type="paragraph" w:styleId="22">
    <w:name w:val="Normal (Web)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character" w:styleId="23">
    <w:name w:val="Strong"/>
    <w:qFormat/>
    <w:uiPriority w:val="22"/>
    <w:rPr>
      <w:b/>
      <w:bCs/>
    </w:rPr>
  </w:style>
  <w:style w:type="table" w:styleId="24">
    <w:name w:val="Table Grid"/>
    <w:basedOn w:val="12"/>
    <w:qFormat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1"/>
    <w:basedOn w:val="1"/>
    <w:next w:val="1"/>
    <w:unhideWhenUsed/>
    <w:qFormat/>
    <w:uiPriority w:val="39"/>
    <w:pPr>
      <w:keepNext/>
      <w:tabs>
        <w:tab w:val="right" w:leader="dot" w:pos="9062"/>
        <w:tab w:val="clear" w:pos="765"/>
      </w:tabs>
      <w:spacing w:before="240"/>
      <w:ind w:firstLine="0"/>
      <w:jc w:val="center"/>
    </w:pPr>
    <w:rPr>
      <w:rFonts w:ascii="Cambria" w:hAnsi="Cambria"/>
      <w:b/>
    </w:r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062"/>
        <w:tab w:val="clear" w:pos="765"/>
      </w:tabs>
      <w:spacing w:before="60"/>
      <w:ind w:firstLine="0"/>
    </w:pPr>
  </w:style>
  <w:style w:type="character" w:customStyle="1" w:styleId="27">
    <w:name w:val="_bold"/>
    <w:qFormat/>
    <w:uiPriority w:val="0"/>
    <w:rPr>
      <w:b/>
      <w:bCs/>
      <w:color w:val="0070C0"/>
    </w:rPr>
  </w:style>
  <w:style w:type="character" w:customStyle="1" w:styleId="28">
    <w:name w:val="_bold-kursywa"/>
    <w:qFormat/>
    <w:uiPriority w:val="99"/>
    <w:rPr>
      <w:b/>
      <w:bCs/>
      <w:i/>
      <w:iCs/>
      <w:color w:val="7F6000" w:themeColor="accent4" w:themeShade="80"/>
    </w:rPr>
  </w:style>
  <w:style w:type="character" w:customStyle="1" w:styleId="29">
    <w:name w:val="_kursywa"/>
    <w:qFormat/>
    <w:uiPriority w:val="99"/>
    <w:rPr>
      <w:i/>
      <w:iCs/>
      <w:color w:val="FF0000"/>
    </w:rPr>
  </w:style>
  <w:style w:type="character" w:customStyle="1" w:styleId="30">
    <w:name w:val="_podkreślenie"/>
    <w:basedOn w:val="11"/>
    <w:qFormat/>
    <w:uiPriority w:val="1"/>
    <w:rPr>
      <w:rFonts w:eastAsia="Times New Roman" w:cs="Times New Roman"/>
      <w:szCs w:val="20"/>
      <w:u w:val="single"/>
      <w:lang w:eastAsia="pl-PL"/>
    </w:rPr>
  </w:style>
  <w:style w:type="character" w:customStyle="1" w:styleId="31">
    <w:name w:val="Nagłówek 1 Znak"/>
    <w:basedOn w:val="11"/>
    <w:link w:val="2"/>
    <w:qFormat/>
    <w:uiPriority w:val="99"/>
    <w:rPr>
      <w:rFonts w:ascii="Cambria" w:hAnsi="Cambria" w:cs="Cambria" w:eastAsiaTheme="minorEastAsia"/>
      <w:b/>
      <w:bCs/>
      <w:color w:val="000000"/>
      <w:sz w:val="28"/>
      <w:szCs w:val="28"/>
      <w:lang w:eastAsia="pl-PL"/>
    </w:rPr>
  </w:style>
  <w:style w:type="character" w:customStyle="1" w:styleId="32">
    <w:name w:val="Nagłówek 2 Znak"/>
    <w:basedOn w:val="11"/>
    <w:link w:val="3"/>
    <w:qFormat/>
    <w:uiPriority w:val="0"/>
    <w:rPr>
      <w:rFonts w:ascii="Cambria" w:hAnsi="Cambria" w:cs="Cambria" w:eastAsiaTheme="minorEastAsia"/>
      <w:b/>
      <w:bCs/>
      <w:color w:val="000000"/>
      <w:sz w:val="25"/>
      <w:szCs w:val="25"/>
      <w:lang w:eastAsia="pl-PL"/>
    </w:rPr>
  </w:style>
  <w:style w:type="character" w:customStyle="1" w:styleId="33">
    <w:name w:val="Nagłówek 3 Znak"/>
    <w:basedOn w:val="11"/>
    <w:link w:val="4"/>
    <w:qFormat/>
    <w:uiPriority w:val="0"/>
    <w:rPr>
      <w:rFonts w:ascii="Cambria" w:hAnsi="Cambria" w:cs="Cambria" w:eastAsiaTheme="minorEastAsia"/>
      <w:b/>
      <w:bCs/>
      <w:color w:val="000000"/>
      <w:lang w:eastAsia="pl-PL"/>
    </w:rPr>
  </w:style>
  <w:style w:type="character" w:customStyle="1" w:styleId="34">
    <w:name w:val="Nagłówek 4 Znak"/>
    <w:basedOn w:val="11"/>
    <w:link w:val="5"/>
    <w:qFormat/>
    <w:uiPriority w:val="0"/>
    <w:rPr>
      <w:rFonts w:ascii="Cambria" w:hAnsi="Cambria" w:eastAsia="Times New Roman" w:cs="Times New Roman"/>
      <w:b/>
      <w:bCs/>
      <w:i/>
      <w:iCs/>
      <w:color w:val="4F81BD"/>
      <w:lang w:eastAsia="ar-SA"/>
    </w:rPr>
  </w:style>
  <w:style w:type="character" w:customStyle="1" w:styleId="35">
    <w:name w:val="Nagłówek 6 Znak"/>
    <w:basedOn w:val="11"/>
    <w:link w:val="6"/>
    <w:qFormat/>
    <w:uiPriority w:val="0"/>
    <w:rPr>
      <w:rFonts w:ascii="Calibri" w:hAnsi="Calibri" w:eastAsia="Times New Roman" w:cs="Times New Roman"/>
      <w:b/>
      <w:bCs/>
      <w:lang w:eastAsia="ar-SA"/>
    </w:rPr>
  </w:style>
  <w:style w:type="character" w:customStyle="1" w:styleId="36">
    <w:name w:val="Nagłówek 7 Znak"/>
    <w:basedOn w:val="11"/>
    <w:link w:val="7"/>
    <w:qFormat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7">
    <w:name w:val="Nagłówek 8 Znak"/>
    <w:basedOn w:val="11"/>
    <w:link w:val="9"/>
    <w:qFormat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8">
    <w:name w:val="Nagłówek 9 Znak"/>
    <w:basedOn w:val="11"/>
    <w:link w:val="10"/>
    <w:qFormat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9">
    <w:name w:val="WW8Num2z0"/>
    <w:qFormat/>
    <w:uiPriority w:val="0"/>
    <w:rPr>
      <w:rFonts w:ascii="Symbol" w:hAnsi="Symbol" w:cs="OpenSymbol"/>
    </w:rPr>
  </w:style>
  <w:style w:type="character" w:customStyle="1" w:styleId="40">
    <w:name w:val="Absatz-Standardschriftart"/>
    <w:qFormat/>
    <w:uiPriority w:val="0"/>
  </w:style>
  <w:style w:type="character" w:customStyle="1" w:styleId="41">
    <w:name w:val="WW-Absatz-Standardschriftart"/>
    <w:qFormat/>
    <w:uiPriority w:val="0"/>
  </w:style>
  <w:style w:type="character" w:customStyle="1" w:styleId="42">
    <w:name w:val="WW-Absatz-Standardschriftart1"/>
    <w:qFormat/>
    <w:uiPriority w:val="0"/>
  </w:style>
  <w:style w:type="character" w:customStyle="1" w:styleId="43">
    <w:name w:val="WW-Absatz-Standardschriftart11"/>
    <w:qFormat/>
    <w:uiPriority w:val="0"/>
  </w:style>
  <w:style w:type="character" w:customStyle="1" w:styleId="44">
    <w:name w:val="Domyślna czcionka akapitu1"/>
    <w:qFormat/>
    <w:uiPriority w:val="0"/>
  </w:style>
  <w:style w:type="character" w:customStyle="1" w:styleId="45">
    <w:name w:val="Tekst podstawowy wcięty Znak"/>
    <w:basedOn w:val="11"/>
    <w:link w:val="14"/>
    <w:qFormat/>
    <w:uiPriority w:val="99"/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46">
    <w:name w:val="_bold_N31"/>
    <w:basedOn w:val="27"/>
    <w:qFormat/>
    <w:uiPriority w:val="99"/>
    <w:rPr>
      <w:rFonts w:ascii="Cambria" w:hAnsi="Cambria" w:cs="Cambria"/>
      <w:color w:val="1F497D"/>
      <w:sz w:val="22"/>
      <w:szCs w:val="22"/>
    </w:rPr>
  </w:style>
  <w:style w:type="character" w:customStyle="1" w:styleId="47">
    <w:name w:val="_temat"/>
    <w:qFormat/>
    <w:uiPriority w:val="99"/>
    <w:rPr>
      <w:caps/>
      <w:w w:val="120"/>
      <w:sz w:val="17"/>
      <w:szCs w:val="17"/>
    </w:rPr>
  </w:style>
  <w:style w:type="character" w:customStyle="1" w:styleId="48">
    <w:name w:val="_kropka"/>
    <w:qFormat/>
    <w:uiPriority w:val="99"/>
    <w:rPr>
      <w:rFonts w:ascii="Symbol" w:hAnsi="Symbol" w:cs="Symbol"/>
    </w:rPr>
  </w:style>
  <w:style w:type="character" w:customStyle="1" w:styleId="49">
    <w:name w:val="Tekst podstawowy Znak"/>
    <w:basedOn w:val="11"/>
    <w:link w:val="8"/>
    <w:qFormat/>
    <w:uiPriority w:val="0"/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50">
    <w:name w:val="Nagłówek Znak"/>
    <w:basedOn w:val="11"/>
    <w:link w:val="18"/>
    <w:qFormat/>
    <w:uiPriority w:val="0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1">
    <w:name w:val="Stopka Znak"/>
    <w:basedOn w:val="11"/>
    <w:link w:val="17"/>
    <w:qFormat/>
    <w:uiPriority w:val="99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2">
    <w:name w:val="Tekst komentarza Znak"/>
    <w:basedOn w:val="11"/>
    <w:link w:val="16"/>
    <w:semiHidden/>
    <w:qFormat/>
    <w:uiPriority w:val="99"/>
    <w:rPr>
      <w:rFonts w:ascii="Times New Roman" w:hAnsi="Times New Roman" w:cs="Times New Roman" w:eastAsiaTheme="minorEastAsia"/>
      <w:color w:val="000000"/>
      <w:sz w:val="20"/>
      <w:szCs w:val="20"/>
      <w:lang w:eastAsia="pl-PL"/>
    </w:rPr>
  </w:style>
  <w:style w:type="character" w:customStyle="1" w:styleId="53">
    <w:name w:val="Odwołanie do komentarza1"/>
    <w:basedOn w:val="44"/>
    <w:uiPriority w:val="0"/>
    <w:rPr>
      <w:sz w:val="16"/>
      <w:szCs w:val="16"/>
    </w:rPr>
  </w:style>
  <w:style w:type="character" w:customStyle="1" w:styleId="54">
    <w:name w:val="Tekst dymka Znak"/>
    <w:basedOn w:val="11"/>
    <w:link w:val="13"/>
    <w:semiHidden/>
    <w:uiPriority w:val="99"/>
    <w:rPr>
      <w:rFonts w:ascii="Segoe UI" w:hAnsi="Segoe UI" w:cs="Segoe UI" w:eastAsiaTheme="minorEastAsia"/>
      <w:color w:val="000000"/>
      <w:sz w:val="18"/>
      <w:szCs w:val="18"/>
      <w:lang w:eastAsia="pl-PL"/>
    </w:rPr>
  </w:style>
  <w:style w:type="character" w:customStyle="1" w:styleId="55">
    <w:name w:val="_nie-bold"/>
    <w:qFormat/>
    <w:uiPriority w:val="1"/>
    <w:rPr>
      <w:b/>
      <w:color w:val="538135" w:themeColor="accent6" w:themeShade="BF"/>
    </w:rPr>
  </w:style>
  <w:style w:type="character" w:customStyle="1" w:styleId="56">
    <w:name w:val="WW8Num30z0"/>
    <w:uiPriority w:val="0"/>
    <w:rPr>
      <w:rFonts w:ascii="Symbol" w:hAnsi="Symbol"/>
      <w:color w:val="auto"/>
    </w:rPr>
  </w:style>
  <w:style w:type="character" w:customStyle="1" w:styleId="57">
    <w:name w:val="WW8Num14z0"/>
    <w:uiPriority w:val="0"/>
    <w:rPr>
      <w:rFonts w:ascii="Symbol" w:hAnsi="Symbol"/>
      <w:color w:val="auto"/>
    </w:rPr>
  </w:style>
  <w:style w:type="character" w:customStyle="1" w:styleId="58">
    <w:name w:val="WW8Num12z0"/>
    <w:qFormat/>
    <w:uiPriority w:val="0"/>
    <w:rPr>
      <w:rFonts w:ascii="Symbol" w:hAnsi="Symbol"/>
      <w:color w:val="auto"/>
    </w:rPr>
  </w:style>
  <w:style w:type="character" w:customStyle="1" w:styleId="59">
    <w:name w:val="ListLabel 1"/>
    <w:qFormat/>
    <w:uiPriority w:val="0"/>
    <w:rPr>
      <w:color w:val="00000A"/>
    </w:rPr>
  </w:style>
  <w:style w:type="character" w:customStyle="1" w:styleId="60">
    <w:name w:val="ListLabel 2"/>
    <w:qFormat/>
    <w:uiPriority w:val="0"/>
    <w:rPr>
      <w:rFonts w:cs="Times New Roman"/>
    </w:rPr>
  </w:style>
  <w:style w:type="character" w:customStyle="1" w:styleId="61">
    <w:name w:val="Symbole wypunktowania"/>
    <w:qFormat/>
    <w:uiPriority w:val="0"/>
    <w:rPr>
      <w:rFonts w:ascii="OpenSymbol" w:hAnsi="OpenSymbol" w:eastAsia="OpenSymbol" w:cs="OpenSymbol"/>
    </w:rPr>
  </w:style>
  <w:style w:type="paragraph" w:customStyle="1" w:styleId="62">
    <w:name w:val="Nagłówek1"/>
    <w:basedOn w:val="1"/>
    <w:next w:val="8"/>
    <w:uiPriority w:val="0"/>
    <w:pPr>
      <w:keepNext/>
      <w:tabs>
        <w:tab w:val="center" w:pos="4536"/>
        <w:tab w:val="right" w:pos="9072"/>
        <w:tab w:val="clear" w:pos="765"/>
      </w:tabs>
      <w:spacing w:before="240" w:after="120"/>
    </w:pPr>
    <w:rPr>
      <w:rFonts w:ascii="Arial" w:hAnsi="Arial" w:eastAsia="Times New Roman" w:cs="Calibri"/>
      <w:sz w:val="28"/>
      <w:szCs w:val="28"/>
    </w:rPr>
  </w:style>
  <w:style w:type="character" w:customStyle="1" w:styleId="63">
    <w:name w:val="Tekst podstawowy Znak1"/>
    <w:basedOn w:val="11"/>
    <w:uiPriority w:val="0"/>
    <w:rPr>
      <w:rFonts w:ascii="Times New Roman" w:hAnsi="Times New Roman" w:eastAsia="Times New Roman" w:cs="Calibri"/>
      <w:color w:val="00000A"/>
      <w:kern w:val="1"/>
      <w:sz w:val="24"/>
      <w:szCs w:val="24"/>
      <w:lang w:val="en-US" w:eastAsia="hi-IN" w:bidi="hi-IN"/>
    </w:rPr>
  </w:style>
  <w:style w:type="paragraph" w:customStyle="1" w:styleId="64">
    <w:name w:val="Podpis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6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66">
    <w:name w:val="[Brak stylu akapitowego]"/>
    <w:qFormat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hAnsi="Times (OTF)" w:cs="Times (OTF)" w:eastAsiaTheme="minorEastAsia"/>
      <w:color w:val="000000"/>
      <w:sz w:val="24"/>
      <w:szCs w:val="24"/>
      <w:lang w:val="pl-PL" w:eastAsia="pl-PL" w:bidi="ar-SA"/>
    </w:rPr>
  </w:style>
  <w:style w:type="paragraph" w:customStyle="1" w:styleId="67">
    <w:name w:val="heading 0"/>
    <w:basedOn w:val="2"/>
    <w:qFormat/>
    <w:uiPriority w:val="99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68">
    <w:name w:val="Normal-odstęp"/>
    <w:basedOn w:val="1"/>
    <w:qFormat/>
    <w:uiPriority w:val="99"/>
    <w:pPr>
      <w:spacing w:before="113"/>
    </w:pPr>
  </w:style>
  <w:style w:type="paragraph" w:customStyle="1" w:styleId="69">
    <w:name w:val="_punkt_półpałza_1"/>
    <w:basedOn w:val="1"/>
    <w:uiPriority w:val="0"/>
    <w:pPr>
      <w:ind w:left="567" w:hanging="283"/>
    </w:pPr>
    <w:rPr>
      <w:color w:val="FF0000"/>
    </w:rPr>
  </w:style>
  <w:style w:type="paragraph" w:customStyle="1" w:styleId="70">
    <w:name w:val="_punkt_półpałza_2"/>
    <w:basedOn w:val="69"/>
    <w:qFormat/>
    <w:uiPriority w:val="99"/>
    <w:pPr>
      <w:ind w:left="850"/>
    </w:pPr>
  </w:style>
  <w:style w:type="paragraph" w:customStyle="1" w:styleId="71">
    <w:name w:val="_punkt_półpauza_1"/>
    <w:basedOn w:val="1"/>
    <w:qFormat/>
    <w:uiPriority w:val="99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72">
    <w:name w:val="_punkt_półpauza_2"/>
    <w:basedOn w:val="71"/>
    <w:qFormat/>
    <w:uiPriority w:val="99"/>
    <w:pPr>
      <w:ind w:left="851"/>
    </w:pPr>
  </w:style>
  <w:style w:type="paragraph" w:customStyle="1" w:styleId="73">
    <w:name w:val="_punkt_półpauza_3"/>
    <w:basedOn w:val="72"/>
    <w:qFormat/>
    <w:uiPriority w:val="99"/>
    <w:pPr>
      <w:ind w:left="1134"/>
    </w:pPr>
  </w:style>
  <w:style w:type="paragraph" w:customStyle="1" w:styleId="74">
    <w:name w:val="_obiekt"/>
    <w:basedOn w:val="1"/>
    <w:qFormat/>
    <w:uiPriority w:val="99"/>
    <w:pPr>
      <w:spacing w:before="113" w:after="113"/>
      <w:ind w:firstLine="0"/>
      <w:jc w:val="center"/>
    </w:pPr>
  </w:style>
  <w:style w:type="paragraph" w:customStyle="1" w:styleId="75">
    <w:name w:val="_punkt_półpauza_21"/>
    <w:basedOn w:val="72"/>
    <w:qFormat/>
    <w:uiPriority w:val="99"/>
    <w:pPr>
      <w:ind w:left="567" w:firstLine="0"/>
    </w:pPr>
  </w:style>
  <w:style w:type="paragraph" w:customStyle="1" w:styleId="76">
    <w:name w:val="heading 3-pierwszy"/>
    <w:basedOn w:val="4"/>
    <w:next w:val="1"/>
    <w:qFormat/>
    <w:uiPriority w:val="99"/>
    <w:pPr>
      <w:spacing w:before="57"/>
      <w:outlineLvl w:val="9"/>
    </w:pPr>
  </w:style>
  <w:style w:type="paragraph" w:customStyle="1" w:styleId="77">
    <w:name w:val="_punkt_półpałza_21"/>
    <w:basedOn w:val="70"/>
    <w:qFormat/>
    <w:uiPriority w:val="99"/>
    <w:pPr>
      <w:ind w:left="567" w:firstLine="0"/>
    </w:pPr>
  </w:style>
  <w:style w:type="paragraph" w:customStyle="1" w:styleId="78">
    <w:name w:val="_punkt_półpałza_3"/>
    <w:basedOn w:val="70"/>
    <w:qFormat/>
    <w:uiPriority w:val="99"/>
    <w:pPr>
      <w:ind w:left="1134"/>
    </w:pPr>
  </w:style>
  <w:style w:type="paragraph" w:customStyle="1" w:styleId="79">
    <w:name w:val="heading 31"/>
    <w:basedOn w:val="4"/>
    <w:qFormat/>
    <w:uiPriority w:val="99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80">
    <w:name w:val="heading 31-pierwszy"/>
    <w:basedOn w:val="79"/>
    <w:qFormat/>
    <w:uiPriority w:val="99"/>
    <w:pPr>
      <w:spacing w:before="57"/>
    </w:pPr>
  </w:style>
  <w:style w:type="paragraph" w:customStyle="1" w:styleId="81">
    <w:name w:val="Normal-punkt"/>
    <w:basedOn w:val="1"/>
    <w:qFormat/>
    <w:uiPriority w:val="99"/>
    <w:pPr>
      <w:ind w:left="765" w:hanging="198"/>
    </w:pPr>
  </w:style>
  <w:style w:type="paragraph" w:customStyle="1" w:styleId="82">
    <w:name w:val="_źródło"/>
    <w:basedOn w:val="1"/>
    <w:qFormat/>
    <w:uiPriority w:val="99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83">
    <w:name w:val="heading 32"/>
    <w:basedOn w:val="79"/>
    <w:qFormat/>
    <w:uiPriority w:val="99"/>
    <w:pPr>
      <w:ind w:left="850"/>
    </w:pPr>
    <w:rPr>
      <w:rFonts w:ascii="Cambria" w:hAnsi="Cambria" w:cs="Cambria"/>
    </w:rPr>
  </w:style>
  <w:style w:type="paragraph" w:customStyle="1" w:styleId="84">
    <w:name w:val="heading 32-pierwszy"/>
    <w:basedOn w:val="83"/>
    <w:qFormat/>
    <w:uiPriority w:val="99"/>
    <w:pPr>
      <w:spacing w:before="57"/>
    </w:pPr>
  </w:style>
  <w:style w:type="paragraph" w:customStyle="1" w:styleId="85">
    <w:name w:val="_T1"/>
    <w:basedOn w:val="1"/>
    <w:qFormat/>
    <w:uiPriority w:val="99"/>
    <w:pPr>
      <w:keepNext/>
      <w:tabs>
        <w:tab w:val="left" w:pos="850"/>
        <w:tab w:val="clear" w:pos="765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86">
    <w:name w:val="_T2"/>
    <w:basedOn w:val="85"/>
    <w:qFormat/>
    <w:uiPriority w:val="99"/>
    <w:pPr>
      <w:spacing w:before="57"/>
    </w:pPr>
    <w:rPr>
      <w:smallCaps/>
    </w:rPr>
  </w:style>
  <w:style w:type="paragraph" w:customStyle="1" w:styleId="87">
    <w:name w:val="_T1-pierwszy"/>
    <w:basedOn w:val="85"/>
    <w:qFormat/>
    <w:uiPriority w:val="99"/>
    <w:pPr>
      <w:spacing w:before="0"/>
    </w:pPr>
  </w:style>
  <w:style w:type="paragraph" w:customStyle="1" w:styleId="88">
    <w:name w:val="_wiersz"/>
    <w:basedOn w:val="1"/>
    <w:qFormat/>
    <w:uiPriority w:val="99"/>
    <w:pPr>
      <w:tabs>
        <w:tab w:val="right" w:pos="9072"/>
        <w:tab w:val="clear" w:pos="765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89">
    <w:name w:val="Nornal do prawej"/>
    <w:basedOn w:val="1"/>
    <w:qFormat/>
    <w:uiPriority w:val="99"/>
    <w:pPr>
      <w:jc w:val="right"/>
    </w:pPr>
  </w:style>
  <w:style w:type="paragraph" w:customStyle="1" w:styleId="90">
    <w:name w:val="_polecane-wykorzystane"/>
    <w:basedOn w:val="1"/>
    <w:qFormat/>
    <w:uiPriority w:val="99"/>
    <w:pPr>
      <w:keepNext/>
      <w:ind w:left="850" w:hanging="283"/>
    </w:pPr>
    <w:rPr>
      <w:b/>
      <w:bCs/>
      <w:color w:val="984806"/>
    </w:rPr>
  </w:style>
  <w:style w:type="paragraph" w:customStyle="1" w:styleId="91">
    <w:name w:val="_polecane-wykorzystane-pomocnicze"/>
    <w:basedOn w:val="90"/>
    <w:qFormat/>
    <w:uiPriority w:val="99"/>
    <w:pPr>
      <w:ind w:left="567"/>
    </w:pPr>
  </w:style>
  <w:style w:type="paragraph" w:customStyle="1" w:styleId="92">
    <w:name w:val="_polecane-pomocnicze"/>
    <w:basedOn w:val="91"/>
    <w:qFormat/>
    <w:uiPriority w:val="99"/>
    <w:pPr>
      <w:spacing w:before="113"/>
    </w:pPr>
  </w:style>
  <w:style w:type="paragraph" w:customStyle="1" w:styleId="93">
    <w:name w:val="_wiersz-punkt"/>
    <w:basedOn w:val="88"/>
    <w:qFormat/>
    <w:uiPriority w:val="0"/>
    <w:pPr>
      <w:ind w:left="794" w:hanging="227"/>
    </w:pPr>
  </w:style>
  <w:style w:type="character" w:customStyle="1" w:styleId="94">
    <w:name w:val="Tekst podstawowy wcięty Znak1"/>
    <w:basedOn w:val="11"/>
    <w:qFormat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95">
    <w:name w:val="tt1"/>
    <w:basedOn w:val="1"/>
    <w:qFormat/>
    <w:uiPriority w:val="99"/>
    <w:pPr>
      <w:ind w:left="340" w:hanging="227"/>
    </w:pPr>
    <w:rPr>
      <w:sz w:val="18"/>
      <w:szCs w:val="18"/>
    </w:rPr>
  </w:style>
  <w:style w:type="paragraph" w:customStyle="1" w:styleId="96">
    <w:name w:val="ttt1"/>
    <w:basedOn w:val="95"/>
    <w:qFormat/>
    <w:uiPriority w:val="99"/>
    <w:pPr>
      <w:ind w:left="227"/>
    </w:pPr>
    <w:rPr>
      <w:sz w:val="22"/>
      <w:szCs w:val="22"/>
    </w:rPr>
  </w:style>
  <w:style w:type="paragraph" w:customStyle="1" w:styleId="97">
    <w:name w:val="ttt11"/>
    <w:basedOn w:val="96"/>
    <w:qFormat/>
    <w:uiPriority w:val="99"/>
    <w:pPr>
      <w:ind w:left="340"/>
    </w:pPr>
  </w:style>
  <w:style w:type="paragraph" w:customStyle="1" w:styleId="98">
    <w:name w:val="tt1a"/>
    <w:basedOn w:val="95"/>
    <w:qFormat/>
    <w:uiPriority w:val="99"/>
    <w:pPr>
      <w:ind w:left="170" w:hanging="170"/>
    </w:pPr>
  </w:style>
  <w:style w:type="paragraph" w:customStyle="1" w:styleId="99">
    <w:name w:val="_pagina"/>
    <w:basedOn w:val="1"/>
    <w:qFormat/>
    <w:uiPriority w:val="99"/>
    <w:pPr>
      <w:tabs>
        <w:tab w:val="right" w:pos="9354"/>
        <w:tab w:val="clear" w:pos="765"/>
      </w:tabs>
    </w:pPr>
    <w:rPr>
      <w:caps/>
      <w:sz w:val="20"/>
      <w:szCs w:val="20"/>
    </w:rPr>
  </w:style>
  <w:style w:type="paragraph" w:customStyle="1" w:styleId="100">
    <w:name w:val="S1"/>
    <w:basedOn w:val="1"/>
    <w:qFormat/>
    <w:uiPriority w:val="99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101">
    <w:name w:val="S2"/>
    <w:basedOn w:val="100"/>
    <w:qFormat/>
    <w:uiPriority w:val="99"/>
    <w:pPr>
      <w:tabs>
        <w:tab w:val="right" w:leader="dot" w:pos="7313"/>
        <w:tab w:val="clear" w:pos="765"/>
      </w:tabs>
      <w:spacing w:before="0" w:after="48"/>
      <w:jc w:val="left"/>
    </w:pPr>
    <w:rPr>
      <w:sz w:val="22"/>
      <w:szCs w:val="22"/>
    </w:rPr>
  </w:style>
  <w:style w:type="paragraph" w:customStyle="1" w:styleId="102">
    <w:name w:val="[Podstawowy akapitowy]"/>
    <w:basedOn w:val="66"/>
    <w:qFormat/>
    <w:uiPriority w:val="99"/>
  </w:style>
  <w:style w:type="paragraph" w:customStyle="1" w:styleId="103">
    <w:name w:val="Akapit z listą1"/>
    <w:basedOn w:val="1"/>
    <w:qFormat/>
    <w:uiPriority w:val="0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hAnsi="Calibri" w:eastAsia="Calibri" w:cs="Calibri"/>
      <w:color w:val="00000A"/>
    </w:rPr>
  </w:style>
  <w:style w:type="paragraph" w:customStyle="1" w:styleId="104">
    <w:name w:val="Normalny (Web)1"/>
    <w:basedOn w:val="1"/>
    <w:qFormat/>
    <w:uiPriority w:val="0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105">
    <w:name w:val="Wypunktowanie2"/>
    <w:basedOn w:val="1"/>
    <w:qFormat/>
    <w:uiPriority w:val="0"/>
    <w:pPr>
      <w:numPr>
        <w:ilvl w:val="0"/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 w:eastAsia="Times New Roman" w:cs="Calibri"/>
      <w:color w:val="auto"/>
      <w:lang w:eastAsia="ar-SA"/>
    </w:rPr>
  </w:style>
  <w:style w:type="paragraph" w:customStyle="1" w:styleId="106">
    <w:name w:val="inner"/>
    <w:basedOn w:val="1"/>
    <w:qFormat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107">
    <w:name w:val="Normal do prawej"/>
    <w:basedOn w:val="1"/>
    <w:qFormat/>
    <w:uiPriority w:val="0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character" w:customStyle="1" w:styleId="108">
    <w:name w:val="Stopka Znak1"/>
    <w:basedOn w:val="11"/>
    <w:qFormat/>
    <w:uiPriority w:val="0"/>
    <w:rPr>
      <w:rFonts w:ascii="Times New Roman" w:hAnsi="Times New Roman" w:eastAsia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109">
    <w:name w:val="Poprawka1"/>
    <w:qFormat/>
    <w:uiPriority w:val="0"/>
    <w:pPr>
      <w:suppressAutoHyphens/>
      <w:spacing w:after="0" w:line="100" w:lineRule="atLeast"/>
    </w:pPr>
    <w:rPr>
      <w:rFonts w:ascii="Calibri" w:hAnsi="Calibri" w:eastAsia="Times New Roman" w:cs="Calibri"/>
      <w:kern w:val="1"/>
      <w:sz w:val="24"/>
      <w:szCs w:val="24"/>
      <w:lang w:val="pl-PL" w:eastAsia="hi-IN" w:bidi="hi-IN"/>
    </w:rPr>
  </w:style>
  <w:style w:type="paragraph" w:customStyle="1" w:styleId="110">
    <w:name w:val="Tekst komentarza1"/>
    <w:basedOn w:val="1"/>
    <w:qFormat/>
    <w:uiPriority w:val="0"/>
    <w:rPr>
      <w:sz w:val="20"/>
      <w:szCs w:val="20"/>
    </w:rPr>
  </w:style>
  <w:style w:type="paragraph" w:customStyle="1" w:styleId="111">
    <w:name w:val="Tekst dymka1"/>
    <w:basedOn w:val="1"/>
    <w:qFormat/>
    <w:uiPriority w:val="0"/>
    <w:rPr>
      <w:rFonts w:ascii="Segoe UI" w:hAnsi="Segoe UI" w:cs="Segoe UI"/>
      <w:sz w:val="18"/>
      <w:szCs w:val="18"/>
    </w:rPr>
  </w:style>
  <w:style w:type="paragraph" w:customStyle="1" w:styleId="112">
    <w:name w:val="_wiersz-ref"/>
    <w:basedOn w:val="93"/>
    <w:qFormat/>
    <w:uiPriority w:val="99"/>
    <w:pPr>
      <w:ind w:hanging="454"/>
    </w:pPr>
  </w:style>
  <w:style w:type="paragraph" w:customStyle="1" w:styleId="113">
    <w:name w:val="Zawartość tabeli"/>
    <w:basedOn w:val="1"/>
    <w:qFormat/>
    <w:uiPriority w:val="0"/>
    <w:pPr>
      <w:suppressLineNumbers/>
    </w:pPr>
  </w:style>
  <w:style w:type="paragraph" w:customStyle="1" w:styleId="114">
    <w:name w:val="Nagłówek tabeli"/>
    <w:basedOn w:val="113"/>
    <w:qFormat/>
    <w:uiPriority w:val="0"/>
    <w:pPr>
      <w:jc w:val="center"/>
    </w:pPr>
    <w:rPr>
      <w:b/>
      <w:bCs/>
    </w:rPr>
  </w:style>
  <w:style w:type="character" w:customStyle="1" w:styleId="115">
    <w:name w:val="Nagłówek Znak1"/>
    <w:basedOn w:val="11"/>
    <w:qFormat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116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SimSun" w:cs="Mangal"/>
      <w:color w:val="000000"/>
      <w:kern w:val="1"/>
      <w:sz w:val="24"/>
      <w:szCs w:val="21"/>
      <w:lang w:val="pl-PL" w:eastAsia="hi-IN" w:bidi="hi-IN"/>
    </w:rPr>
  </w:style>
  <w:style w:type="character" w:customStyle="1" w:styleId="117">
    <w:name w:val="Tekst dymka Znak1"/>
    <w:basedOn w:val="11"/>
    <w:semiHidden/>
    <w:qFormat/>
    <w:uiPriority w:val="99"/>
    <w:rPr>
      <w:rFonts w:ascii="Segoe UI" w:hAnsi="Segoe UI" w:eastAsia="SimSun" w:cs="Mangal"/>
      <w:color w:val="000000"/>
      <w:kern w:val="1"/>
      <w:sz w:val="18"/>
      <w:szCs w:val="16"/>
      <w:lang w:eastAsia="hi-IN" w:bidi="hi-IN"/>
    </w:rPr>
  </w:style>
  <w:style w:type="character" w:customStyle="1" w:styleId="118">
    <w:name w:val="Tekst komentarza Znak1"/>
    <w:basedOn w:val="11"/>
    <w:semiHidden/>
    <w:qFormat/>
    <w:uiPriority w:val="99"/>
    <w:rPr>
      <w:rFonts w:ascii="Times New Roman" w:hAnsi="Times New Roman" w:eastAsia="SimSun" w:cs="Mangal"/>
      <w:color w:val="000000"/>
      <w:kern w:val="1"/>
      <w:sz w:val="20"/>
      <w:szCs w:val="18"/>
      <w:lang w:eastAsia="hi-IN" w:bidi="hi-IN"/>
    </w:rPr>
  </w:style>
  <w:style w:type="paragraph" w:styleId="119">
    <w:name w:val="List Paragraph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eastAsia="Calibri" w:cs="Calibri"/>
      <w:color w:val="auto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2872</Words>
  <Characters>17233</Characters>
  <Lines>143</Lines>
  <Paragraphs>40</Paragraphs>
  <TotalTime>5</TotalTime>
  <ScaleCrop>false</ScaleCrop>
  <LinksUpToDate>false</LinksUpToDate>
  <CharactersWithSpaces>20065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2023-09-08T07:17:00Z</dcterms:created>
  <dc:creator>User</dc:creator>
  <cp:lastModifiedBy>Ewa</cp:lastModifiedBy>
  <cp:lastPrinted>2023-09-08T07:16:00Z</cp:lastPrinted>
  <dcterms:modified xsi:type="dcterms:W3CDTF">2023-09-23T19:14:59Z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A45AC0E0AA4C48219166F77EE71C3B30_13</vt:lpwstr>
  </property>
</Properties>
</file>